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3576"/>
      </w:tblGrid>
      <w:tr w:rsidR="007F0A98" w:rsidTr="001B358E">
        <w:tc>
          <w:tcPr>
            <w:tcW w:w="5496" w:type="dxa"/>
          </w:tcPr>
          <w:p w:rsidR="007F0A98" w:rsidRDefault="007F0A98" w:rsidP="003173B5">
            <w:pPr>
              <w:pBdr>
                <w:top w:val="none" w:sz="0" w:space="0" w:color="auto"/>
                <w:left w:val="none" w:sz="0" w:space="0" w:color="auto"/>
                <w:bottom w:val="none" w:sz="0" w:space="0" w:color="auto"/>
                <w:right w:val="none" w:sz="0" w:space="0" w:color="auto"/>
                <w:between w:val="none" w:sz="0" w:space="0" w:color="auto"/>
                <w:bar w:val="none" w:sz="0" w:color="auto"/>
              </w:pBdr>
            </w:pPr>
            <w:r w:rsidRPr="00AA7084">
              <w:rPr>
                <w:noProof/>
                <w:lang w:val="en-US"/>
              </w:rPr>
              <w:drawing>
                <wp:inline distT="0" distB="0" distL="0" distR="0" wp14:anchorId="4A6884AC" wp14:editId="26B68BB5">
                  <wp:extent cx="3346743" cy="811078"/>
                  <wp:effectExtent l="0" t="0" r="6350" b="8255"/>
                  <wp:docPr id="2" name="Picture 2" descr="C:\Users\r_gonzalez\Documents\Rosa files\IPDC logos\sector_ci_ipdc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_gonzalez\Documents\Rosa files\IPDC logos\sector_ci_ipdc_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0259" cy="843435"/>
                          </a:xfrm>
                          <a:prstGeom prst="rect">
                            <a:avLst/>
                          </a:prstGeom>
                          <a:noFill/>
                          <a:ln>
                            <a:noFill/>
                          </a:ln>
                        </pic:spPr>
                      </pic:pic>
                    </a:graphicData>
                  </a:graphic>
                </wp:inline>
              </w:drawing>
            </w:r>
          </w:p>
        </w:tc>
        <w:tc>
          <w:tcPr>
            <w:tcW w:w="4352" w:type="dxa"/>
          </w:tcPr>
          <w:p w:rsidR="007F0A98" w:rsidRDefault="007F0A98" w:rsidP="003173B5">
            <w:pPr>
              <w:pBdr>
                <w:top w:val="none" w:sz="0" w:space="0" w:color="auto"/>
                <w:left w:val="none" w:sz="0" w:space="0" w:color="auto"/>
                <w:bottom w:val="none" w:sz="0" w:space="0" w:color="auto"/>
                <w:right w:val="none" w:sz="0" w:space="0" w:color="auto"/>
                <w:between w:val="none" w:sz="0" w:space="0" w:color="auto"/>
                <w:bar w:val="none" w:sz="0" w:color="auto"/>
              </w:pBdr>
            </w:pPr>
          </w:p>
        </w:tc>
      </w:tr>
    </w:tbl>
    <w:p w:rsidR="007F0A98" w:rsidRDefault="007F0A98" w:rsidP="003173B5">
      <w:pPr>
        <w:rPr>
          <w:lang w:val="en-ZA"/>
        </w:rPr>
      </w:pPr>
    </w:p>
    <w:p w:rsidR="00687DA3" w:rsidRPr="00687DA3" w:rsidRDefault="00687DA3" w:rsidP="003173B5">
      <w:pPr>
        <w:rPr>
          <w:rFonts w:eastAsia="Calibri"/>
          <w:b/>
          <w:sz w:val="24"/>
        </w:rPr>
      </w:pPr>
      <w:r w:rsidRPr="00687DA3">
        <w:rPr>
          <w:rFonts w:eastAsia="Calibri"/>
          <w:b/>
          <w:sz w:val="24"/>
        </w:rPr>
        <w:t xml:space="preserve">CONCEPT NOTE </w:t>
      </w:r>
    </w:p>
    <w:p w:rsidR="007F0A98" w:rsidRPr="00687DA3" w:rsidRDefault="00687DA3" w:rsidP="003173B5">
      <w:pPr>
        <w:rPr>
          <w:rFonts w:eastAsia="Calibri"/>
          <w:b/>
          <w:sz w:val="24"/>
        </w:rPr>
      </w:pPr>
      <w:r w:rsidRPr="00687DA3">
        <w:rPr>
          <w:rFonts w:eastAsia="Calibri"/>
          <w:b/>
          <w:sz w:val="24"/>
        </w:rPr>
        <w:t xml:space="preserve">Technical Consultation on </w:t>
      </w:r>
      <w:r w:rsidR="00B4547D">
        <w:rPr>
          <w:rFonts w:eastAsia="Calibri"/>
          <w:b/>
          <w:sz w:val="24"/>
        </w:rPr>
        <w:t>UNESCO/</w:t>
      </w:r>
      <w:r w:rsidRPr="00687DA3">
        <w:rPr>
          <w:rFonts w:eastAsia="Calibri"/>
          <w:b/>
          <w:sz w:val="24"/>
        </w:rPr>
        <w:t xml:space="preserve">IPDC’s Mechanism to Monitor and Report </w:t>
      </w:r>
      <w:r>
        <w:rPr>
          <w:rFonts w:eastAsia="Calibri"/>
          <w:b/>
          <w:sz w:val="24"/>
        </w:rPr>
        <w:br/>
      </w:r>
      <w:r w:rsidRPr="00687DA3">
        <w:rPr>
          <w:rFonts w:eastAsia="Calibri"/>
          <w:b/>
          <w:sz w:val="24"/>
        </w:rPr>
        <w:t xml:space="preserve">on SDG </w:t>
      </w:r>
      <w:r>
        <w:rPr>
          <w:rFonts w:eastAsia="Calibri"/>
          <w:b/>
          <w:sz w:val="24"/>
        </w:rPr>
        <w:t xml:space="preserve">indicator </w:t>
      </w:r>
      <w:r w:rsidRPr="00687DA3">
        <w:rPr>
          <w:rFonts w:eastAsia="Calibri"/>
          <w:b/>
          <w:sz w:val="24"/>
        </w:rPr>
        <w:t xml:space="preserve">16.10.2 on </w:t>
      </w:r>
      <w:r w:rsidR="00E25581">
        <w:rPr>
          <w:rFonts w:eastAsia="Calibri"/>
          <w:b/>
          <w:sz w:val="24"/>
        </w:rPr>
        <w:t xml:space="preserve">Public </w:t>
      </w:r>
      <w:r w:rsidRPr="00687DA3">
        <w:rPr>
          <w:rFonts w:eastAsia="Calibri"/>
          <w:b/>
          <w:sz w:val="24"/>
        </w:rPr>
        <w:t xml:space="preserve">Access to </w:t>
      </w:r>
      <w:r>
        <w:rPr>
          <w:rFonts w:eastAsia="Calibri"/>
          <w:b/>
          <w:sz w:val="24"/>
        </w:rPr>
        <w:t>Information</w:t>
      </w:r>
    </w:p>
    <w:p w:rsidR="007F0A98" w:rsidRPr="00687DA3" w:rsidRDefault="00687DA3" w:rsidP="003173B5">
      <w:pPr>
        <w:rPr>
          <w:rFonts w:eastAsia="Calibri"/>
          <w:b/>
        </w:rPr>
      </w:pPr>
      <w:r w:rsidRPr="00687DA3">
        <w:rPr>
          <w:rFonts w:eastAsia="Calibri"/>
          <w:b/>
        </w:rPr>
        <w:t>UNESCO, 3 September 2018</w:t>
      </w:r>
    </w:p>
    <w:p w:rsidR="00225F7D" w:rsidRDefault="00225F7D" w:rsidP="003173B5">
      <w:pPr>
        <w:pStyle w:val="Default"/>
      </w:pPr>
    </w:p>
    <w:p w:rsidR="007F0A98" w:rsidRPr="004540A8" w:rsidRDefault="00C318E0" w:rsidP="003173B5">
      <w:pPr>
        <w:rPr>
          <w:rFonts w:eastAsia="Calibri"/>
          <w:b/>
        </w:rPr>
      </w:pPr>
      <w:r>
        <w:t xml:space="preserve"> </w:t>
      </w:r>
    </w:p>
    <w:p w:rsidR="00E25581" w:rsidRDefault="00E25581" w:rsidP="003173B5">
      <w:pPr>
        <w:contextualSpacing/>
        <w:rPr>
          <w:rFonts w:eastAsia="Calibri"/>
          <w:b/>
        </w:rPr>
      </w:pPr>
      <w:r>
        <w:rPr>
          <w:rFonts w:eastAsia="Calibri"/>
          <w:b/>
        </w:rPr>
        <w:t>EXECUTIVE SUMMARY</w:t>
      </w:r>
    </w:p>
    <w:p w:rsidR="00E25581" w:rsidRDefault="00E25581" w:rsidP="003173B5">
      <w:pPr>
        <w:contextualSpacing/>
        <w:rPr>
          <w:rFonts w:eastAsia="Calibri"/>
          <w:b/>
        </w:rPr>
      </w:pPr>
    </w:p>
    <w:p w:rsidR="00E25581" w:rsidRPr="007477D1" w:rsidRDefault="00E25581" w:rsidP="003173B5">
      <w:pPr>
        <w:contextualSpacing/>
        <w:rPr>
          <w:rFonts w:eastAsia="Calibri"/>
        </w:rPr>
      </w:pPr>
      <w:r w:rsidRPr="007477D1">
        <w:rPr>
          <w:rFonts w:eastAsia="Calibri"/>
        </w:rPr>
        <w:t xml:space="preserve">A one day </w:t>
      </w:r>
      <w:r>
        <w:rPr>
          <w:rFonts w:eastAsia="Calibri"/>
        </w:rPr>
        <w:t xml:space="preserve">workshop will seek to mobilise expertise and exchange around strengthening the monitoring and reporting on public access to information, as well as brainstorm the subsequent use of such </w:t>
      </w:r>
      <w:r w:rsidR="004F3465">
        <w:rPr>
          <w:rFonts w:eastAsia="Calibri"/>
        </w:rPr>
        <w:t xml:space="preserve">processes </w:t>
      </w:r>
      <w:r>
        <w:rPr>
          <w:rFonts w:eastAsia="Calibri"/>
        </w:rPr>
        <w:t xml:space="preserve">for </w:t>
      </w:r>
      <w:r w:rsidR="004F3465">
        <w:rPr>
          <w:rFonts w:eastAsia="Calibri"/>
        </w:rPr>
        <w:t xml:space="preserve">materially </w:t>
      </w:r>
      <w:r>
        <w:rPr>
          <w:rFonts w:eastAsia="Calibri"/>
        </w:rPr>
        <w:t xml:space="preserve">advancing </w:t>
      </w:r>
      <w:r w:rsidR="00AC0808">
        <w:rPr>
          <w:rFonts w:eastAsia="Calibri"/>
        </w:rPr>
        <w:t xml:space="preserve">target 10 of Sustainable Development Goal 16 (SDG 16), </w:t>
      </w:r>
      <w:r w:rsidR="00943BE7">
        <w:rPr>
          <w:rFonts w:eastAsia="Calibri"/>
        </w:rPr>
        <w:t xml:space="preserve">as well as the </w:t>
      </w:r>
      <w:r>
        <w:rPr>
          <w:rFonts w:eastAsia="Calibri"/>
        </w:rPr>
        <w:t>SDGs</w:t>
      </w:r>
      <w:r w:rsidR="00943BE7">
        <w:rPr>
          <w:rFonts w:eastAsia="Calibri"/>
        </w:rPr>
        <w:t xml:space="preserve"> as a whole</w:t>
      </w:r>
      <w:r>
        <w:rPr>
          <w:rFonts w:eastAsia="Calibri"/>
        </w:rPr>
        <w:t>.</w:t>
      </w:r>
    </w:p>
    <w:p w:rsidR="00E25581" w:rsidRDefault="00E25581" w:rsidP="003173B5">
      <w:pPr>
        <w:contextualSpacing/>
        <w:rPr>
          <w:rFonts w:eastAsia="Calibri"/>
          <w:b/>
        </w:rPr>
      </w:pPr>
    </w:p>
    <w:p w:rsidR="0021243A" w:rsidRDefault="0078208D" w:rsidP="003173B5">
      <w:pPr>
        <w:contextualSpacing/>
        <w:rPr>
          <w:rFonts w:eastAsia="Calibri"/>
          <w:b/>
        </w:rPr>
      </w:pPr>
      <w:r>
        <w:rPr>
          <w:rFonts w:eastAsia="Calibri"/>
          <w:b/>
        </w:rPr>
        <w:t>OVERVIEW</w:t>
      </w:r>
      <w:r w:rsidR="00E25581">
        <w:rPr>
          <w:rFonts w:eastAsia="Calibri"/>
          <w:b/>
        </w:rPr>
        <w:t xml:space="preserve"> </w:t>
      </w:r>
    </w:p>
    <w:p w:rsidR="006B4A28" w:rsidRDefault="006B4A28" w:rsidP="003173B5">
      <w:pPr>
        <w:contextualSpacing/>
        <w:rPr>
          <w:lang w:val="en-US"/>
        </w:rPr>
      </w:pPr>
    </w:p>
    <w:p w:rsidR="0021243A" w:rsidRPr="003173B5" w:rsidRDefault="0021243A" w:rsidP="003173B5">
      <w:pPr>
        <w:rPr>
          <w:rFonts w:ascii="Calibri" w:eastAsia="Times New Roman" w:hAnsi="Calibri" w:cs="Arial"/>
          <w:iCs/>
        </w:rPr>
      </w:pPr>
      <w:r>
        <w:rPr>
          <w:lang w:val="en-US"/>
        </w:rPr>
        <w:t>Sustainable development goal 16.10</w:t>
      </w:r>
      <w:r w:rsidR="00647035">
        <w:rPr>
          <w:lang w:val="en-US"/>
        </w:rPr>
        <w:t xml:space="preserve">, agreed by the international community, </w:t>
      </w:r>
      <w:r w:rsidR="006B4A28">
        <w:rPr>
          <w:lang w:val="en-US"/>
        </w:rPr>
        <w:t>enjoins</w:t>
      </w:r>
      <w:r w:rsidR="00647035">
        <w:rPr>
          <w:lang w:val="en-US"/>
        </w:rPr>
        <w:t xml:space="preserve"> states </w:t>
      </w:r>
      <w:r w:rsidR="00AC0808">
        <w:rPr>
          <w:lang w:val="en-US"/>
        </w:rPr>
        <w:t xml:space="preserve">and other stakeholders </w:t>
      </w:r>
      <w:r w:rsidR="00647035">
        <w:rPr>
          <w:lang w:val="en-US"/>
        </w:rPr>
        <w:t>to</w:t>
      </w:r>
      <w:r>
        <w:rPr>
          <w:lang w:val="en-US"/>
        </w:rPr>
        <w:t xml:space="preserve"> </w:t>
      </w:r>
      <w:r w:rsidR="00647035">
        <w:rPr>
          <w:lang w:val="en-US"/>
        </w:rPr>
        <w:t>“</w:t>
      </w:r>
      <w:r w:rsidR="00647035" w:rsidRPr="00647035">
        <w:rPr>
          <w:lang w:val="en-US"/>
        </w:rPr>
        <w:t>Ensure public ac</w:t>
      </w:r>
      <w:r w:rsidR="00647035">
        <w:rPr>
          <w:lang w:val="en-US"/>
        </w:rPr>
        <w:t xml:space="preserve">cess to information and protect </w:t>
      </w:r>
      <w:r w:rsidR="00647035" w:rsidRPr="00647035">
        <w:rPr>
          <w:lang w:val="en-US"/>
        </w:rPr>
        <w:t xml:space="preserve">fundamental freedoms, in accordance </w:t>
      </w:r>
      <w:r w:rsidR="00647035">
        <w:rPr>
          <w:lang w:val="en-US"/>
        </w:rPr>
        <w:t xml:space="preserve">with national </w:t>
      </w:r>
      <w:r w:rsidR="00647035" w:rsidRPr="00647035">
        <w:rPr>
          <w:lang w:val="en-US"/>
        </w:rPr>
        <w:t>legislation and international agreements</w:t>
      </w:r>
      <w:r w:rsidR="00647035">
        <w:rPr>
          <w:lang w:val="en-US"/>
        </w:rPr>
        <w:t>”.</w:t>
      </w:r>
    </w:p>
    <w:p w:rsidR="00647035" w:rsidRPr="007477D1" w:rsidRDefault="00647035" w:rsidP="003173B5">
      <w:pPr>
        <w:contextualSpacing/>
        <w:rPr>
          <w:lang w:val="en-US"/>
        </w:rPr>
      </w:pPr>
    </w:p>
    <w:p w:rsidR="003173B5" w:rsidRPr="003173B5" w:rsidRDefault="00647035" w:rsidP="003173B5">
      <w:r>
        <w:rPr>
          <w:lang w:val="en-US"/>
        </w:rPr>
        <w:t>In order to assess if there is global progress in achieving this, the indic</w:t>
      </w:r>
      <w:r w:rsidR="009639EB">
        <w:rPr>
          <w:lang w:val="en-US"/>
        </w:rPr>
        <w:t>ator agreed by the UN Statistic</w:t>
      </w:r>
      <w:r>
        <w:rPr>
          <w:lang w:val="en-US"/>
        </w:rPr>
        <w:t xml:space="preserve">s Commission, number </w:t>
      </w:r>
      <w:r w:rsidR="0021243A" w:rsidRPr="0021243A">
        <w:rPr>
          <w:lang w:val="en-US"/>
        </w:rPr>
        <w:t>16.10.2</w:t>
      </w:r>
      <w:r>
        <w:rPr>
          <w:lang w:val="en-US"/>
        </w:rPr>
        <w:t>,</w:t>
      </w:r>
      <w:r w:rsidR="0021243A" w:rsidRPr="0021243A">
        <w:rPr>
          <w:lang w:val="en-US"/>
        </w:rPr>
        <w:t xml:space="preserve"> is</w:t>
      </w:r>
      <w:r>
        <w:rPr>
          <w:lang w:val="en-US"/>
        </w:rPr>
        <w:t>:</w:t>
      </w:r>
      <w:r w:rsidR="0021243A" w:rsidRPr="0021243A">
        <w:rPr>
          <w:lang w:val="en-US"/>
        </w:rPr>
        <w:t xml:space="preserve"> “number of countries that adopt and implement constitutional, statutory and/or policy guarantees for public access to information”.</w:t>
      </w:r>
      <w:r>
        <w:rPr>
          <w:lang w:val="en-US"/>
        </w:rPr>
        <w:t xml:space="preserve"> </w:t>
      </w:r>
      <w:r w:rsidR="003173B5">
        <w:rPr>
          <w:lang w:val="en-US"/>
        </w:rPr>
        <w:t xml:space="preserve"> </w:t>
      </w:r>
      <w:r w:rsidR="003173B5">
        <w:rPr>
          <w:rFonts w:ascii="Calibri" w:eastAsia="Times New Roman" w:hAnsi="Calibri" w:cs="Arial"/>
          <w:iCs/>
        </w:rPr>
        <w:t xml:space="preserve">The wording here concerning </w:t>
      </w:r>
      <w:r w:rsidR="003173B5" w:rsidRPr="008075A3">
        <w:rPr>
          <w:rFonts w:ascii="Calibri" w:eastAsia="Times New Roman" w:hAnsi="Calibri" w:cs="Arial"/>
          <w:i/>
          <w:iCs/>
        </w:rPr>
        <w:t>guarantees</w:t>
      </w:r>
      <w:r w:rsidR="003173B5">
        <w:rPr>
          <w:rFonts w:ascii="Calibri" w:eastAsia="Times New Roman" w:hAnsi="Calibri" w:cs="Arial"/>
          <w:iCs/>
        </w:rPr>
        <w:t xml:space="preserve"> highlights the dependence of “public access to information” on the matter of “fundamental freedoms” (in this case, on the </w:t>
      </w:r>
      <w:r w:rsidR="003173B5" w:rsidRPr="008075A3">
        <w:rPr>
          <w:rFonts w:ascii="Calibri" w:eastAsia="Times New Roman" w:hAnsi="Calibri" w:cs="Arial"/>
          <w:i/>
          <w:iCs/>
        </w:rPr>
        <w:t>right</w:t>
      </w:r>
      <w:r w:rsidR="003173B5">
        <w:rPr>
          <w:rFonts w:ascii="Calibri" w:eastAsia="Times New Roman" w:hAnsi="Calibri" w:cs="Arial"/>
          <w:iCs/>
        </w:rPr>
        <w:t xml:space="preserve"> to seek and receive information, which is part of the overall right to freedom of expression).  The emphasis in this concept paper follows this </w:t>
      </w:r>
      <w:r w:rsidR="003A2ABF">
        <w:rPr>
          <w:rFonts w:ascii="Calibri" w:eastAsia="Times New Roman" w:hAnsi="Calibri" w:cs="Arial"/>
          <w:iCs/>
        </w:rPr>
        <w:t xml:space="preserve">rights </w:t>
      </w:r>
      <w:r w:rsidR="003173B5">
        <w:rPr>
          <w:rFonts w:ascii="Calibri" w:eastAsia="Times New Roman" w:hAnsi="Calibri" w:cs="Arial"/>
          <w:iCs/>
        </w:rPr>
        <w:t xml:space="preserve">dimension, rather </w:t>
      </w:r>
      <w:r w:rsidR="003A2ABF">
        <w:rPr>
          <w:rFonts w:ascii="Calibri" w:eastAsia="Times New Roman" w:hAnsi="Calibri" w:cs="Arial"/>
          <w:iCs/>
        </w:rPr>
        <w:t xml:space="preserve">than </w:t>
      </w:r>
      <w:r w:rsidR="003173B5">
        <w:rPr>
          <w:rFonts w:ascii="Calibri" w:eastAsia="Times New Roman" w:hAnsi="Calibri" w:cs="Arial"/>
          <w:iCs/>
        </w:rPr>
        <w:t xml:space="preserve">issues of technology, economics, languages and competencies which also impact on access. </w:t>
      </w:r>
    </w:p>
    <w:p w:rsidR="00A163CD" w:rsidRDefault="00A163CD" w:rsidP="003173B5">
      <w:r>
        <w:t>The purpose of any SDG indicator is to enable stakeholders to track specific phenomenon, against which change (progress, stasis or regress) can be measured after a period of time. States, as the primary duty-bearers as regards making progress on SDGs, have an obligation to monitor and report accordingly.  While each country may tailor its systems of “voluntary national review” to its own needs, budgets and capacities, there is value in encouraging a level of commonality which enables aggregation at a global level, so as to provide a picture of the trends for the world as a whole.</w:t>
      </w:r>
      <w:r w:rsidR="00915310">
        <w:t xml:space="preserve"> There is also value in seeking to address the characteristic of </w:t>
      </w:r>
      <w:r w:rsidR="003A2ABF">
        <w:t xml:space="preserve">16.10.2 as </w:t>
      </w:r>
      <w:r w:rsidR="00915310">
        <w:t xml:space="preserve">a Tier 2 indicator </w:t>
      </w:r>
      <w:r w:rsidR="003A2ABF">
        <w:t xml:space="preserve">meaning </w:t>
      </w:r>
      <w:r w:rsidR="00915310">
        <w:t xml:space="preserve">that “data are not </w:t>
      </w:r>
      <w:r w:rsidR="003A2ABF">
        <w:t>regularly produced by countries</w:t>
      </w:r>
      <w:r w:rsidR="00915310">
        <w:t>”</w:t>
      </w:r>
      <w:r w:rsidR="003A2ABF">
        <w:t>.</w:t>
      </w:r>
      <w:r w:rsidR="003A2ABF">
        <w:rPr>
          <w:rStyle w:val="FootnoteReference"/>
        </w:rPr>
        <w:footnoteReference w:id="1"/>
      </w:r>
    </w:p>
    <w:p w:rsidR="00060128" w:rsidRDefault="00060128" w:rsidP="003173B5">
      <w:pPr>
        <w:rPr>
          <w:rFonts w:eastAsia="Calibri"/>
          <w:bCs/>
        </w:rPr>
      </w:pPr>
      <w:r>
        <w:rPr>
          <w:rFonts w:eastAsia="Calibri"/>
          <w:bCs/>
        </w:rPr>
        <w:lastRenderedPageBreak/>
        <w:t>Within the UN, UNESCO has been designated as custodian agency for global reporting to the UN about progress on achieving SDG 16.10.2.</w:t>
      </w:r>
      <w:r>
        <w:rPr>
          <w:rStyle w:val="FootnoteReference"/>
          <w:rFonts w:eastAsia="Calibri"/>
          <w:bCs/>
        </w:rPr>
        <w:footnoteReference w:id="2"/>
      </w:r>
      <w:r>
        <w:rPr>
          <w:rFonts w:eastAsia="Calibri"/>
          <w:bCs/>
        </w:rPr>
        <w:t xml:space="preserve">  </w:t>
      </w:r>
      <w:r w:rsidR="00AD2F68">
        <w:rPr>
          <w:rFonts w:eastAsia="Calibri"/>
          <w:bCs/>
        </w:rPr>
        <w:t>This arose after work by the secretariat, on express mandate of UNESCO’s intergovernmental body, the International Programme for the Development of Communication (</w:t>
      </w:r>
      <w:r w:rsidR="00AD2F68" w:rsidRPr="00343FBC">
        <w:rPr>
          <w:rFonts w:eastAsia="Calibri"/>
          <w:bCs/>
        </w:rPr>
        <w:t>IPDC</w:t>
      </w:r>
      <w:r w:rsidR="00AD2F68">
        <w:rPr>
          <w:rFonts w:eastAsia="Calibri"/>
          <w:bCs/>
        </w:rPr>
        <w:t>), to engage with the SDG agenda on relevant issues</w:t>
      </w:r>
      <w:r w:rsidR="00302BE4">
        <w:rPr>
          <w:rFonts w:eastAsia="Calibri"/>
          <w:bCs/>
        </w:rPr>
        <w:t xml:space="preserve"> along with partners</w:t>
      </w:r>
      <w:r w:rsidR="00AD2F68">
        <w:rPr>
          <w:rFonts w:eastAsia="Calibri"/>
          <w:bCs/>
        </w:rPr>
        <w:t xml:space="preserve">.  </w:t>
      </w:r>
      <w:r w:rsidR="00915310">
        <w:rPr>
          <w:rFonts w:eastAsia="Calibri"/>
          <w:bCs/>
        </w:rPr>
        <w:t xml:space="preserve">UNESCO’s reports to the UN on global monitoring of 16.10.2 have accordingly been compiled and submitted by the IPDC secretariat. </w:t>
      </w:r>
      <w:r w:rsidR="00AD2F68">
        <w:rPr>
          <w:rFonts w:eastAsia="Calibri"/>
          <w:bCs/>
        </w:rPr>
        <w:t>The IPDC serves as, inter alia, a laboratory and standard-setter for developing indicators such as for media and internet development</w:t>
      </w:r>
      <w:r w:rsidR="00302BE4">
        <w:rPr>
          <w:rFonts w:eastAsia="Calibri"/>
          <w:bCs/>
        </w:rPr>
        <w:t>. I</w:t>
      </w:r>
      <w:r w:rsidR="00915310">
        <w:rPr>
          <w:rFonts w:eastAsia="Calibri"/>
          <w:bCs/>
        </w:rPr>
        <w:t xml:space="preserve">n this context the possibility exists to elaborate a framework that </w:t>
      </w:r>
      <w:r w:rsidR="00302BE4">
        <w:rPr>
          <w:rFonts w:eastAsia="Calibri"/>
          <w:bCs/>
        </w:rPr>
        <w:t>c</w:t>
      </w:r>
      <w:r w:rsidR="00915310">
        <w:rPr>
          <w:rFonts w:eastAsia="Calibri"/>
          <w:bCs/>
        </w:rPr>
        <w:t xml:space="preserve">ould </w:t>
      </w:r>
      <w:r w:rsidR="00302BE4">
        <w:rPr>
          <w:rFonts w:eastAsia="Calibri"/>
          <w:bCs/>
        </w:rPr>
        <w:t xml:space="preserve">both </w:t>
      </w:r>
      <w:r w:rsidR="00915310">
        <w:rPr>
          <w:rFonts w:eastAsia="Calibri"/>
          <w:bCs/>
        </w:rPr>
        <w:t>support and involve UNESCO Member States in data-collection and reporting on 16.10.2</w:t>
      </w:r>
      <w:r w:rsidR="00AD2F68">
        <w:rPr>
          <w:rFonts w:eastAsia="Calibri"/>
          <w:bCs/>
        </w:rPr>
        <w:t>.</w:t>
      </w:r>
      <w:r>
        <w:rPr>
          <w:rFonts w:eastAsia="Calibri"/>
          <w:bCs/>
        </w:rPr>
        <w:t xml:space="preserve"> </w:t>
      </w:r>
      <w:r w:rsidR="00302BE4">
        <w:rPr>
          <w:rFonts w:eastAsia="Calibri"/>
          <w:bCs/>
        </w:rPr>
        <w:t>T</w:t>
      </w:r>
      <w:r>
        <w:rPr>
          <w:rFonts w:eastAsia="Calibri"/>
          <w:bCs/>
        </w:rPr>
        <w:t xml:space="preserve">he </w:t>
      </w:r>
      <w:r w:rsidR="00302BE4">
        <w:rPr>
          <w:rFonts w:eastAsia="Calibri"/>
          <w:bCs/>
        </w:rPr>
        <w:t xml:space="preserve">existence and interest </w:t>
      </w:r>
      <w:r>
        <w:rPr>
          <w:rFonts w:eastAsia="Calibri"/>
          <w:bCs/>
        </w:rPr>
        <w:t xml:space="preserve">of the UNESCO Institute of Statistics (UIS) </w:t>
      </w:r>
      <w:r w:rsidR="00915310">
        <w:rPr>
          <w:rFonts w:eastAsia="Calibri"/>
          <w:bCs/>
        </w:rPr>
        <w:t xml:space="preserve">also </w:t>
      </w:r>
      <w:r>
        <w:rPr>
          <w:rFonts w:eastAsia="Calibri"/>
          <w:bCs/>
        </w:rPr>
        <w:t xml:space="preserve">opens possibilities for engaging national statistical systems as sources (perhaps drawing on other relevant state institutions too) for the global monitoring work required of UNESCO. </w:t>
      </w:r>
    </w:p>
    <w:p w:rsidR="006B4A28" w:rsidRDefault="006B4A28" w:rsidP="003173B5">
      <w:pPr>
        <w:rPr>
          <w:rFonts w:eastAsia="Calibri"/>
          <w:bCs/>
        </w:rPr>
      </w:pPr>
      <w:r w:rsidRPr="00687DA3">
        <w:rPr>
          <w:rFonts w:eastAsia="Calibri"/>
          <w:bCs/>
        </w:rPr>
        <w:t xml:space="preserve">Measuring </w:t>
      </w:r>
      <w:r>
        <w:rPr>
          <w:rFonts w:eastAsia="Calibri"/>
          <w:bCs/>
        </w:rPr>
        <w:t xml:space="preserve">progress by means of 16.10.2 in a comprehensive and </w:t>
      </w:r>
      <w:r w:rsidRPr="00687DA3">
        <w:rPr>
          <w:rFonts w:eastAsia="Calibri"/>
          <w:bCs/>
        </w:rPr>
        <w:t>internationally c</w:t>
      </w:r>
      <w:r>
        <w:rPr>
          <w:rFonts w:eastAsia="Calibri"/>
          <w:bCs/>
        </w:rPr>
        <w:t xml:space="preserve">omparable manner is </w:t>
      </w:r>
      <w:r w:rsidR="00915310">
        <w:rPr>
          <w:rFonts w:eastAsia="Calibri"/>
          <w:bCs/>
        </w:rPr>
        <w:t xml:space="preserve">a </w:t>
      </w:r>
      <w:r>
        <w:rPr>
          <w:rFonts w:eastAsia="Calibri"/>
          <w:bCs/>
        </w:rPr>
        <w:t>complex</w:t>
      </w:r>
      <w:r w:rsidR="00915310">
        <w:rPr>
          <w:rFonts w:eastAsia="Calibri"/>
          <w:bCs/>
        </w:rPr>
        <w:t xml:space="preserve"> affair</w:t>
      </w:r>
      <w:r>
        <w:rPr>
          <w:rFonts w:eastAsia="Calibri"/>
          <w:bCs/>
        </w:rPr>
        <w:t>.</w:t>
      </w:r>
      <w:r w:rsidRPr="00687DA3">
        <w:rPr>
          <w:rFonts w:eastAsia="Calibri"/>
          <w:bCs/>
        </w:rPr>
        <w:t xml:space="preserve"> </w:t>
      </w:r>
      <w:r w:rsidR="00915310">
        <w:rPr>
          <w:rFonts w:eastAsia="Calibri"/>
          <w:bCs/>
        </w:rPr>
        <w:t xml:space="preserve">But it is also an </w:t>
      </w:r>
      <w:r w:rsidRPr="00687DA3">
        <w:rPr>
          <w:rFonts w:eastAsia="Calibri"/>
          <w:bCs/>
        </w:rPr>
        <w:t xml:space="preserve">opportunity </w:t>
      </w:r>
      <w:r w:rsidR="00915310">
        <w:rPr>
          <w:rFonts w:eastAsia="Calibri"/>
          <w:bCs/>
        </w:rPr>
        <w:t xml:space="preserve">for reinforcing </w:t>
      </w:r>
      <w:r w:rsidRPr="00687DA3">
        <w:rPr>
          <w:rFonts w:eastAsia="Calibri"/>
          <w:bCs/>
        </w:rPr>
        <w:t xml:space="preserve">global </w:t>
      </w:r>
      <w:r>
        <w:rPr>
          <w:rFonts w:eastAsia="Calibri"/>
          <w:bCs/>
        </w:rPr>
        <w:t xml:space="preserve">and national </w:t>
      </w:r>
      <w:r w:rsidRPr="00687DA3">
        <w:rPr>
          <w:rFonts w:eastAsia="Calibri"/>
          <w:bCs/>
        </w:rPr>
        <w:t xml:space="preserve">reporting on the </w:t>
      </w:r>
      <w:r>
        <w:rPr>
          <w:rFonts w:eastAsia="Calibri"/>
          <w:bCs/>
        </w:rPr>
        <w:t xml:space="preserve">adoption and </w:t>
      </w:r>
      <w:r w:rsidRPr="00687DA3">
        <w:rPr>
          <w:rFonts w:eastAsia="Calibri"/>
          <w:bCs/>
        </w:rPr>
        <w:t xml:space="preserve">implementation of access-to-information commitments. </w:t>
      </w:r>
      <w:r w:rsidR="00915310" w:rsidRPr="00687DA3">
        <w:rPr>
          <w:rFonts w:eastAsia="Calibri"/>
          <w:bCs/>
        </w:rPr>
        <w:t xml:space="preserve">In addressing this, UNESCO </w:t>
      </w:r>
      <w:r w:rsidR="00915310">
        <w:rPr>
          <w:rFonts w:eastAsia="Calibri"/>
          <w:bCs/>
        </w:rPr>
        <w:t xml:space="preserve">seeks to work </w:t>
      </w:r>
      <w:r w:rsidR="00915310" w:rsidRPr="00687DA3">
        <w:rPr>
          <w:rFonts w:eastAsia="Calibri"/>
          <w:bCs/>
        </w:rPr>
        <w:t xml:space="preserve">with partners </w:t>
      </w:r>
      <w:r w:rsidR="00915310">
        <w:rPr>
          <w:rFonts w:eastAsia="Calibri"/>
          <w:bCs/>
        </w:rPr>
        <w:t>to strengthen the current</w:t>
      </w:r>
      <w:r w:rsidR="00915310" w:rsidRPr="00687DA3">
        <w:rPr>
          <w:rFonts w:eastAsia="Calibri"/>
          <w:bCs/>
        </w:rPr>
        <w:t xml:space="preserve"> </w:t>
      </w:r>
      <w:r w:rsidR="00915310" w:rsidRPr="00B07821">
        <w:rPr>
          <w:rFonts w:eastAsia="Calibri"/>
          <w:bCs/>
          <w:i/>
        </w:rPr>
        <w:t>monitoring</w:t>
      </w:r>
      <w:r w:rsidR="00B07821">
        <w:rPr>
          <w:rFonts w:eastAsia="Calibri"/>
          <w:bCs/>
          <w:i/>
        </w:rPr>
        <w:t xml:space="preserve"> and reporting</w:t>
      </w:r>
      <w:r w:rsidR="00915310" w:rsidRPr="00687DA3">
        <w:rPr>
          <w:rFonts w:eastAsia="Calibri"/>
          <w:bCs/>
        </w:rPr>
        <w:t xml:space="preserve"> and</w:t>
      </w:r>
      <w:r w:rsidR="00B07821">
        <w:rPr>
          <w:rFonts w:eastAsia="Calibri"/>
          <w:bCs/>
        </w:rPr>
        <w:t xml:space="preserve"> </w:t>
      </w:r>
      <w:r w:rsidR="00915310">
        <w:rPr>
          <w:rFonts w:eastAsia="Calibri"/>
          <w:bCs/>
        </w:rPr>
        <w:t>the</w:t>
      </w:r>
      <w:r w:rsidR="00915310" w:rsidRPr="00687DA3">
        <w:rPr>
          <w:rFonts w:eastAsia="Calibri"/>
          <w:bCs/>
        </w:rPr>
        <w:t xml:space="preserve"> </w:t>
      </w:r>
      <w:r w:rsidR="00915310" w:rsidRPr="00B07821">
        <w:rPr>
          <w:rFonts w:eastAsia="Calibri"/>
          <w:bCs/>
          <w:i/>
        </w:rPr>
        <w:t>use</w:t>
      </w:r>
      <w:r w:rsidR="00915310" w:rsidRPr="00687DA3">
        <w:rPr>
          <w:rFonts w:eastAsia="Calibri"/>
          <w:bCs/>
        </w:rPr>
        <w:t xml:space="preserve"> of </w:t>
      </w:r>
      <w:r w:rsidR="00B07821">
        <w:rPr>
          <w:rFonts w:eastAsia="Calibri"/>
          <w:bCs/>
        </w:rPr>
        <w:t xml:space="preserve">the related </w:t>
      </w:r>
      <w:r w:rsidR="00915310" w:rsidRPr="00687DA3">
        <w:rPr>
          <w:rFonts w:eastAsia="Calibri"/>
          <w:bCs/>
        </w:rPr>
        <w:t>findings</w:t>
      </w:r>
      <w:r w:rsidR="008E1735" w:rsidRPr="008E1735">
        <w:rPr>
          <w:rFonts w:eastAsia="Calibri"/>
          <w:bCs/>
        </w:rPr>
        <w:t xml:space="preserve"> </w:t>
      </w:r>
      <w:r w:rsidR="008E1735">
        <w:rPr>
          <w:rFonts w:eastAsia="Calibri"/>
          <w:bCs/>
        </w:rPr>
        <w:t>in order to help advance the 2030 Sustainable Development Agenda</w:t>
      </w:r>
      <w:r w:rsidR="00915310">
        <w:rPr>
          <w:rFonts w:eastAsia="Calibri"/>
          <w:bCs/>
        </w:rPr>
        <w:t xml:space="preserve">.  </w:t>
      </w:r>
    </w:p>
    <w:p w:rsidR="006B4A28" w:rsidRDefault="006B4A28" w:rsidP="003173B5">
      <w:pPr>
        <w:rPr>
          <w:rFonts w:eastAsia="Calibri"/>
          <w:bCs/>
        </w:rPr>
      </w:pPr>
      <w:r>
        <w:rPr>
          <w:rFonts w:eastAsia="Calibri"/>
          <w:bCs/>
        </w:rPr>
        <w:t xml:space="preserve">It is in this light, </w:t>
      </w:r>
      <w:r w:rsidRPr="004540A8">
        <w:rPr>
          <w:rFonts w:eastAsia="Calibri"/>
          <w:bCs/>
        </w:rPr>
        <w:t>UNESCO</w:t>
      </w:r>
      <w:r w:rsidR="00B07821">
        <w:rPr>
          <w:rFonts w:eastAsia="Calibri"/>
          <w:bCs/>
        </w:rPr>
        <w:t>,</w:t>
      </w:r>
      <w:r w:rsidRPr="004540A8">
        <w:rPr>
          <w:rFonts w:eastAsia="Calibri"/>
          <w:bCs/>
        </w:rPr>
        <w:t xml:space="preserve"> </w:t>
      </w:r>
      <w:r>
        <w:rPr>
          <w:rFonts w:eastAsia="Calibri"/>
          <w:bCs/>
        </w:rPr>
        <w:t>in partnership with UIS</w:t>
      </w:r>
      <w:r w:rsidR="008E1735">
        <w:rPr>
          <w:rFonts w:eastAsia="Calibri"/>
          <w:bCs/>
        </w:rPr>
        <w:t>,</w:t>
      </w:r>
      <w:r>
        <w:rPr>
          <w:rFonts w:eastAsia="Calibri"/>
          <w:bCs/>
        </w:rPr>
        <w:t xml:space="preserve"> </w:t>
      </w:r>
      <w:r w:rsidRPr="004540A8">
        <w:rPr>
          <w:rFonts w:eastAsia="Calibri"/>
          <w:bCs/>
        </w:rPr>
        <w:t>propose</w:t>
      </w:r>
      <w:r>
        <w:rPr>
          <w:rFonts w:eastAsia="Calibri"/>
          <w:bCs/>
        </w:rPr>
        <w:t>s</w:t>
      </w:r>
      <w:r w:rsidRPr="004540A8">
        <w:rPr>
          <w:rFonts w:eastAsia="Calibri"/>
          <w:bCs/>
        </w:rPr>
        <w:t xml:space="preserve"> to convene a roundtable of concerned experts</w:t>
      </w:r>
      <w:r>
        <w:rPr>
          <w:rFonts w:eastAsia="Calibri"/>
          <w:bCs/>
        </w:rPr>
        <w:t xml:space="preserve"> at UNESCO HQ on 3 September 2018. This </w:t>
      </w:r>
      <w:r w:rsidRPr="00343FBC">
        <w:rPr>
          <w:rFonts w:eastAsia="Calibri"/>
          <w:bCs/>
        </w:rPr>
        <w:t>follow</w:t>
      </w:r>
      <w:r>
        <w:rPr>
          <w:rFonts w:eastAsia="Calibri"/>
          <w:bCs/>
        </w:rPr>
        <w:t>s</w:t>
      </w:r>
      <w:r w:rsidRPr="00343FBC">
        <w:rPr>
          <w:rFonts w:eastAsia="Calibri"/>
          <w:bCs/>
        </w:rPr>
        <w:t xml:space="preserve"> up discussions </w:t>
      </w:r>
      <w:r w:rsidR="008E1735">
        <w:rPr>
          <w:rFonts w:eastAsia="Calibri"/>
          <w:bCs/>
        </w:rPr>
        <w:t xml:space="preserve">on these issues </w:t>
      </w:r>
      <w:r w:rsidRPr="00343FBC">
        <w:rPr>
          <w:rFonts w:eastAsia="Calibri"/>
          <w:bCs/>
        </w:rPr>
        <w:t>during the recent Open Government Partnership Summit in Tbilisi, Georgia (17-19 July 2018)</w:t>
      </w:r>
      <w:r>
        <w:rPr>
          <w:rFonts w:eastAsia="Calibri"/>
          <w:bCs/>
        </w:rPr>
        <w:t>. It also follows a UNESCO workshop co-hosted with the Global Forum on Media Development in September, 2016.</w:t>
      </w:r>
      <w:r>
        <w:rPr>
          <w:rStyle w:val="FootnoteReference"/>
          <w:rFonts w:eastAsia="Calibri"/>
          <w:bCs/>
        </w:rPr>
        <w:footnoteReference w:id="3"/>
      </w:r>
      <w:r>
        <w:rPr>
          <w:rFonts w:eastAsia="Calibri"/>
          <w:bCs/>
        </w:rPr>
        <w:t xml:space="preserve"> </w:t>
      </w:r>
    </w:p>
    <w:p w:rsidR="00366716" w:rsidRDefault="00A174FE" w:rsidP="003173B5">
      <w:pPr>
        <w:rPr>
          <w:rFonts w:eastAsia="Calibri"/>
          <w:b/>
        </w:rPr>
      </w:pPr>
      <w:r>
        <w:rPr>
          <w:rFonts w:eastAsia="Calibri"/>
          <w:b/>
        </w:rPr>
        <w:t>OBJECTIVES</w:t>
      </w:r>
    </w:p>
    <w:p w:rsidR="006B4A28" w:rsidRPr="00687DA3" w:rsidRDefault="006B4A28" w:rsidP="003173B5">
      <w:pPr>
        <w:rPr>
          <w:rFonts w:eastAsia="Calibri"/>
          <w:bCs/>
        </w:rPr>
      </w:pPr>
      <w:r>
        <w:rPr>
          <w:rFonts w:eastAsia="Calibri"/>
          <w:bCs/>
        </w:rPr>
        <w:t xml:space="preserve">The primary desired outcome is to refine two proposed research templates for use in </w:t>
      </w:r>
      <w:r w:rsidRPr="00B07821">
        <w:rPr>
          <w:rFonts w:eastAsia="Calibri"/>
          <w:bCs/>
          <w:i/>
        </w:rPr>
        <w:t>data-gathering</w:t>
      </w:r>
      <w:r>
        <w:rPr>
          <w:rFonts w:eastAsia="Calibri"/>
          <w:bCs/>
        </w:rPr>
        <w:t xml:space="preserve"> </w:t>
      </w:r>
      <w:r w:rsidR="00B07821">
        <w:rPr>
          <w:rFonts w:eastAsia="Calibri"/>
          <w:bCs/>
        </w:rPr>
        <w:t xml:space="preserve">for 16.10.2, </w:t>
      </w:r>
      <w:r>
        <w:rPr>
          <w:rFonts w:eastAsia="Calibri"/>
          <w:bCs/>
        </w:rPr>
        <w:t xml:space="preserve">and partnerships around these. A second outcome is the production of new ideas for </w:t>
      </w:r>
      <w:r w:rsidRPr="00B07821">
        <w:rPr>
          <w:rFonts w:eastAsia="Calibri"/>
          <w:bCs/>
          <w:i/>
        </w:rPr>
        <w:t>use</w:t>
      </w:r>
      <w:r>
        <w:rPr>
          <w:rFonts w:eastAsia="Calibri"/>
          <w:bCs/>
        </w:rPr>
        <w:t xml:space="preserve"> of the envisaged data and reports. A third outcome to enrich planning for IPDC, which will hold a thematic debate on the subject at the 31</w:t>
      </w:r>
      <w:r w:rsidRPr="007477D1">
        <w:rPr>
          <w:rFonts w:eastAsia="Calibri"/>
          <w:bCs/>
          <w:vertAlign w:val="superscript"/>
        </w:rPr>
        <w:t>st</w:t>
      </w:r>
      <w:r>
        <w:rPr>
          <w:rFonts w:eastAsia="Calibri"/>
          <w:bCs/>
        </w:rPr>
        <w:t xml:space="preserve"> session of Council in November</w:t>
      </w:r>
      <w:r w:rsidR="00B07821">
        <w:rPr>
          <w:rFonts w:eastAsia="Calibri"/>
          <w:bCs/>
        </w:rPr>
        <w:t xml:space="preserve"> 2018</w:t>
      </w:r>
      <w:r>
        <w:rPr>
          <w:rFonts w:eastAsia="Calibri"/>
          <w:bCs/>
        </w:rPr>
        <w:t>.</w:t>
      </w:r>
      <w:r>
        <w:rPr>
          <w:rStyle w:val="FootnoteReference"/>
          <w:rFonts w:eastAsia="Calibri"/>
          <w:bCs/>
        </w:rPr>
        <w:footnoteReference w:id="4"/>
      </w:r>
      <w:r w:rsidR="00B07821">
        <w:rPr>
          <w:rFonts w:eastAsia="Calibri"/>
          <w:bCs/>
        </w:rPr>
        <w:t xml:space="preserve"> These aims of the expert roundtable can be summed up as: </w:t>
      </w:r>
    </w:p>
    <w:p w:rsidR="00F74465" w:rsidRPr="00B4547D" w:rsidRDefault="00F74465" w:rsidP="003173B5">
      <w:pPr>
        <w:pStyle w:val="ListParagraph"/>
        <w:numPr>
          <w:ilvl w:val="0"/>
          <w:numId w:val="9"/>
        </w:numPr>
        <w:rPr>
          <w:rFonts w:eastAsia="Calibri"/>
          <w:bCs/>
        </w:rPr>
      </w:pPr>
      <w:r>
        <w:rPr>
          <w:rFonts w:eastAsia="Calibri"/>
          <w:bCs/>
        </w:rPr>
        <w:t xml:space="preserve">To </w:t>
      </w:r>
      <w:r w:rsidR="00DA5C4B">
        <w:rPr>
          <w:rFonts w:eastAsia="Calibri"/>
          <w:bCs/>
        </w:rPr>
        <w:t>gain expert</w:t>
      </w:r>
      <w:r>
        <w:rPr>
          <w:rFonts w:eastAsia="Calibri"/>
          <w:bCs/>
        </w:rPr>
        <w:t xml:space="preserve"> feedback from </w:t>
      </w:r>
      <w:r w:rsidRPr="00B4547D">
        <w:rPr>
          <w:rFonts w:eastAsia="Calibri"/>
          <w:bCs/>
        </w:rPr>
        <w:t>concerned organizations and experts</w:t>
      </w:r>
      <w:r>
        <w:rPr>
          <w:rFonts w:eastAsia="Calibri"/>
          <w:bCs/>
        </w:rPr>
        <w:t xml:space="preserve"> on </w:t>
      </w:r>
      <w:r w:rsidR="00520897">
        <w:rPr>
          <w:rFonts w:eastAsia="Calibri"/>
          <w:bCs/>
        </w:rPr>
        <w:t xml:space="preserve">the </w:t>
      </w:r>
      <w:r w:rsidR="00DA5C4B">
        <w:rPr>
          <w:rFonts w:eastAsia="Calibri"/>
          <w:bCs/>
        </w:rPr>
        <w:t xml:space="preserve">two proposed </w:t>
      </w:r>
      <w:r w:rsidRPr="00B4547D">
        <w:rPr>
          <w:rFonts w:eastAsia="Calibri"/>
          <w:bCs/>
        </w:rPr>
        <w:t>instrument</w:t>
      </w:r>
      <w:r>
        <w:rPr>
          <w:rFonts w:eastAsia="Calibri"/>
          <w:bCs/>
        </w:rPr>
        <w:t>s</w:t>
      </w:r>
      <w:r w:rsidRPr="00B4547D">
        <w:rPr>
          <w:rFonts w:eastAsia="Calibri"/>
          <w:bCs/>
        </w:rPr>
        <w:t xml:space="preserve"> </w:t>
      </w:r>
      <w:r>
        <w:rPr>
          <w:rFonts w:eastAsia="Calibri"/>
          <w:bCs/>
        </w:rPr>
        <w:t xml:space="preserve">for monitoring and reporting </w:t>
      </w:r>
      <w:r w:rsidRPr="00B4547D">
        <w:rPr>
          <w:rFonts w:eastAsia="Calibri"/>
          <w:bCs/>
        </w:rPr>
        <w:t>on SDG 16.10.2</w:t>
      </w:r>
      <w:r w:rsidR="00520897">
        <w:rPr>
          <w:rFonts w:eastAsia="Calibri"/>
          <w:bCs/>
        </w:rPr>
        <w:t>.</w:t>
      </w:r>
    </w:p>
    <w:p w:rsidR="00520897" w:rsidRPr="00BC2D2A" w:rsidRDefault="00520897" w:rsidP="003173B5">
      <w:pPr>
        <w:pStyle w:val="ListParagraph"/>
        <w:numPr>
          <w:ilvl w:val="0"/>
          <w:numId w:val="9"/>
        </w:numPr>
        <w:rPr>
          <w:rFonts w:eastAsia="Calibri"/>
          <w:bCs/>
        </w:rPr>
      </w:pPr>
      <w:r w:rsidRPr="00BC2D2A">
        <w:rPr>
          <w:rFonts w:eastAsia="Calibri"/>
          <w:bCs/>
        </w:rPr>
        <w:t xml:space="preserve">To assess potential for </w:t>
      </w:r>
      <w:r>
        <w:rPr>
          <w:rFonts w:eastAsia="Calibri"/>
          <w:bCs/>
        </w:rPr>
        <w:t xml:space="preserve">effective use of the results of global monitoring and reporting. </w:t>
      </w:r>
      <w:r w:rsidRPr="00BC2D2A">
        <w:rPr>
          <w:rFonts w:eastAsia="Calibri"/>
          <w:bCs/>
        </w:rPr>
        <w:t xml:space="preserve"> </w:t>
      </w:r>
    </w:p>
    <w:p w:rsidR="00CB4CFB" w:rsidRDefault="00366716" w:rsidP="003173B5">
      <w:pPr>
        <w:pStyle w:val="ListParagraph"/>
        <w:numPr>
          <w:ilvl w:val="0"/>
          <w:numId w:val="9"/>
        </w:numPr>
        <w:rPr>
          <w:rFonts w:eastAsia="Calibri"/>
          <w:bCs/>
        </w:rPr>
      </w:pPr>
      <w:r w:rsidRPr="00343FBC">
        <w:rPr>
          <w:rFonts w:eastAsia="Calibri"/>
          <w:bCs/>
        </w:rPr>
        <w:t xml:space="preserve">To </w:t>
      </w:r>
      <w:r w:rsidR="00CB4CFB" w:rsidRPr="00BC2D2A">
        <w:rPr>
          <w:rFonts w:eastAsia="Calibri"/>
          <w:bCs/>
        </w:rPr>
        <w:t>strategize on how monitoring systems</w:t>
      </w:r>
      <w:r w:rsidR="00211F7F">
        <w:rPr>
          <w:rFonts w:eastAsia="Calibri"/>
          <w:bCs/>
        </w:rPr>
        <w:t>,</w:t>
      </w:r>
      <w:r w:rsidR="00CB4CFB" w:rsidRPr="00BC2D2A">
        <w:rPr>
          <w:rFonts w:eastAsia="Calibri"/>
          <w:bCs/>
        </w:rPr>
        <w:t xml:space="preserve"> </w:t>
      </w:r>
      <w:r w:rsidR="00211F7F">
        <w:rPr>
          <w:rFonts w:eastAsia="Calibri"/>
          <w:bCs/>
        </w:rPr>
        <w:t xml:space="preserve">for at least basic data collection, </w:t>
      </w:r>
      <w:r w:rsidR="00CB4CFB" w:rsidRPr="00BC2D2A">
        <w:rPr>
          <w:rFonts w:eastAsia="Calibri"/>
          <w:bCs/>
        </w:rPr>
        <w:t xml:space="preserve">can be developed/strengthened </w:t>
      </w:r>
      <w:r w:rsidR="00520897">
        <w:rPr>
          <w:rFonts w:eastAsia="Calibri"/>
          <w:bCs/>
        </w:rPr>
        <w:t xml:space="preserve">and used </w:t>
      </w:r>
      <w:r w:rsidR="00CB4CFB" w:rsidRPr="00BC2D2A">
        <w:rPr>
          <w:rFonts w:eastAsia="Calibri"/>
          <w:bCs/>
        </w:rPr>
        <w:t>at Member States’ level.</w:t>
      </w:r>
    </w:p>
    <w:p w:rsidR="00520897" w:rsidRPr="007477D1" w:rsidRDefault="00520897" w:rsidP="003173B5">
      <w:pPr>
        <w:pStyle w:val="ListParagraph"/>
        <w:numPr>
          <w:ilvl w:val="0"/>
          <w:numId w:val="9"/>
        </w:numPr>
        <w:rPr>
          <w:rFonts w:eastAsia="Calibri"/>
          <w:bCs/>
        </w:rPr>
      </w:pPr>
      <w:r>
        <w:rPr>
          <w:rFonts w:eastAsia="Calibri"/>
          <w:bCs/>
        </w:rPr>
        <w:t xml:space="preserve">To consolidate partnerships around all the above. </w:t>
      </w:r>
    </w:p>
    <w:p w:rsidR="00366716" w:rsidRPr="00366716" w:rsidRDefault="00366716" w:rsidP="003173B5">
      <w:pPr>
        <w:pStyle w:val="ListParagraph"/>
        <w:rPr>
          <w:rFonts w:eastAsia="Calibri"/>
          <w:bCs/>
        </w:rPr>
      </w:pPr>
    </w:p>
    <w:p w:rsidR="003D3908" w:rsidRPr="003D3908" w:rsidRDefault="009245BB" w:rsidP="003173B5">
      <w:pPr>
        <w:rPr>
          <w:rFonts w:eastAsia="Calibri"/>
          <w:b/>
        </w:rPr>
      </w:pPr>
      <w:r>
        <w:rPr>
          <w:rFonts w:eastAsia="Calibri"/>
          <w:b/>
        </w:rPr>
        <w:lastRenderedPageBreak/>
        <w:t xml:space="preserve">DATA </w:t>
      </w:r>
      <w:r w:rsidR="009B396D">
        <w:rPr>
          <w:rFonts w:eastAsia="Calibri"/>
          <w:b/>
        </w:rPr>
        <w:t xml:space="preserve">COLLECTION </w:t>
      </w:r>
      <w:r>
        <w:rPr>
          <w:rFonts w:eastAsia="Calibri"/>
          <w:b/>
        </w:rPr>
        <w:t xml:space="preserve">ON </w:t>
      </w:r>
      <w:r w:rsidR="009B396D" w:rsidRPr="009B396D">
        <w:rPr>
          <w:rFonts w:eastAsia="Calibri"/>
          <w:b/>
        </w:rPr>
        <w:t>ATI/RTI/FOI</w:t>
      </w:r>
      <w:r w:rsidR="00DD188E">
        <w:rPr>
          <w:rStyle w:val="FootnoteReference"/>
          <w:rFonts w:eastAsia="Calibri"/>
          <w:b/>
        </w:rPr>
        <w:footnoteReference w:id="5"/>
      </w:r>
      <w:r w:rsidR="0078208D">
        <w:rPr>
          <w:rFonts w:eastAsia="Calibri"/>
          <w:b/>
        </w:rPr>
        <w:t xml:space="preserve"> AND SDG 16.10.2</w:t>
      </w:r>
    </w:p>
    <w:p w:rsidR="00F56008" w:rsidRDefault="00F56008" w:rsidP="00F56008">
      <w:pPr>
        <w:rPr>
          <w:rFonts w:eastAsia="Calibri"/>
          <w:bCs/>
        </w:rPr>
      </w:pPr>
      <w:r>
        <w:rPr>
          <w:rFonts w:eastAsia="Calibri"/>
          <w:bCs/>
        </w:rPr>
        <w:t xml:space="preserve">Information on ATI/RTI/FOI is being collected by various actors in varying degrees and in relation to various countries and government institutions. Much is very valuable, but at the same time is not amenable to comparative or aggregative purposes as would be needed for global standardised monitoring by UNESCO. </w:t>
      </w:r>
    </w:p>
    <w:p w:rsidR="008E1735" w:rsidRDefault="008E1735" w:rsidP="003173B5">
      <w:r>
        <w:t xml:space="preserve">For UNESCO, it is important to be </w:t>
      </w:r>
      <w:r w:rsidR="00F56008">
        <w:t xml:space="preserve">have such data, in order to </w:t>
      </w:r>
      <w:r>
        <w:t xml:space="preserve">able to register if there are any differences globally at least on an annual basis, in order to fulfil its mandate in regard to reporting on 16.10.2 to the UN. </w:t>
      </w:r>
      <w:r w:rsidR="00F56008">
        <w:t>Further, i</w:t>
      </w:r>
      <w:r>
        <w:t xml:space="preserve">n terms of possible future reporting to IPDC </w:t>
      </w:r>
      <w:r w:rsidR="00F56008">
        <w:t xml:space="preserve">in particular, </w:t>
      </w:r>
      <w:r>
        <w:t>this cycle could be annually, although data collection through Member States would likely only be each two years.</w:t>
      </w:r>
      <w:r>
        <w:rPr>
          <w:rStyle w:val="FootnoteReference"/>
        </w:rPr>
        <w:footnoteReference w:id="6"/>
      </w:r>
      <w:r>
        <w:t xml:space="preserve"> For other purposes, such as intensive country work, more in-depth and comprehensive tracking by UNESCO could be done on a semi-ad hoc basis in those Member States where there is interest. This scenario could for example entail doing an in-depth exercise twice before 2030 is reached, and would be reported primarily on a national basis.</w:t>
      </w:r>
    </w:p>
    <w:p w:rsidR="003D76BE" w:rsidRDefault="003D76BE" w:rsidP="003173B5">
      <w:pPr>
        <w:rPr>
          <w:rFonts w:eastAsia="Calibri"/>
          <w:bCs/>
        </w:rPr>
      </w:pPr>
      <w:r>
        <w:rPr>
          <w:rFonts w:eastAsia="Calibri"/>
          <w:bCs/>
        </w:rPr>
        <w:t>Currently, t</w:t>
      </w:r>
      <w:r w:rsidR="00E32500">
        <w:rPr>
          <w:rFonts w:eastAsia="Calibri"/>
          <w:bCs/>
        </w:rPr>
        <w:t xml:space="preserve">he IPDC secretariat </w:t>
      </w:r>
      <w:r w:rsidR="0064066D">
        <w:rPr>
          <w:rFonts w:eastAsia="Calibri"/>
          <w:bCs/>
        </w:rPr>
        <w:t xml:space="preserve">works </w:t>
      </w:r>
      <w:r w:rsidR="00EA53DA">
        <w:rPr>
          <w:rFonts w:eastAsia="Calibri"/>
          <w:bCs/>
        </w:rPr>
        <w:t xml:space="preserve">largely </w:t>
      </w:r>
      <w:r w:rsidR="0064066D">
        <w:rPr>
          <w:rFonts w:eastAsia="Calibri"/>
          <w:bCs/>
        </w:rPr>
        <w:t>with</w:t>
      </w:r>
      <w:r w:rsidR="00EA53DA">
        <w:rPr>
          <w:rFonts w:eastAsia="Calibri"/>
          <w:bCs/>
        </w:rPr>
        <w:t xml:space="preserve"> the data produced</w:t>
      </w:r>
      <w:r w:rsidR="0064066D">
        <w:rPr>
          <w:rFonts w:eastAsia="Calibri"/>
          <w:bCs/>
        </w:rPr>
        <w:t xml:space="preserve"> </w:t>
      </w:r>
      <w:r w:rsidR="00EA53DA">
        <w:rPr>
          <w:rFonts w:eastAsia="Calibri"/>
          <w:bCs/>
        </w:rPr>
        <w:t xml:space="preserve">by other actors </w:t>
      </w:r>
      <w:r w:rsidR="00411D80">
        <w:rPr>
          <w:rFonts w:eastAsia="Calibri"/>
          <w:bCs/>
        </w:rPr>
        <w:t>in fulfilling its role as custodian agency</w:t>
      </w:r>
      <w:r w:rsidR="009639EB">
        <w:rPr>
          <w:rFonts w:eastAsia="Calibri"/>
          <w:bCs/>
        </w:rPr>
        <w:t>.</w:t>
      </w:r>
      <w:r w:rsidR="00267AF1">
        <w:rPr>
          <w:rStyle w:val="FootnoteReference"/>
          <w:rFonts w:eastAsia="Calibri"/>
          <w:bCs/>
        </w:rPr>
        <w:footnoteReference w:id="7"/>
      </w:r>
      <w:r w:rsidR="00EA53DA">
        <w:rPr>
          <w:rFonts w:eastAsia="Calibri"/>
          <w:bCs/>
        </w:rPr>
        <w:t xml:space="preserve"> On this basis</w:t>
      </w:r>
      <w:r w:rsidR="00E32500">
        <w:rPr>
          <w:rFonts w:eastAsia="Calibri"/>
          <w:bCs/>
        </w:rPr>
        <w:t>,</w:t>
      </w:r>
      <w:r w:rsidR="00A006B4">
        <w:rPr>
          <w:rFonts w:eastAsia="Calibri"/>
          <w:bCs/>
        </w:rPr>
        <w:t xml:space="preserve"> </w:t>
      </w:r>
      <w:r w:rsidR="00EA53DA">
        <w:rPr>
          <w:rFonts w:eastAsia="Calibri"/>
          <w:bCs/>
        </w:rPr>
        <w:t xml:space="preserve">with other supplementary sources, the secretariat </w:t>
      </w:r>
      <w:r w:rsidR="0007767F" w:rsidRPr="0007767F">
        <w:rPr>
          <w:rFonts w:eastAsia="Calibri"/>
          <w:bCs/>
        </w:rPr>
        <w:t>has submitted two reports to the UN</w:t>
      </w:r>
      <w:r w:rsidR="00A006B4">
        <w:rPr>
          <w:rFonts w:eastAsia="Calibri"/>
          <w:bCs/>
        </w:rPr>
        <w:t xml:space="preserve"> </w:t>
      </w:r>
      <w:r w:rsidR="0007767F" w:rsidRPr="0007767F">
        <w:rPr>
          <w:rFonts w:eastAsia="Calibri"/>
          <w:bCs/>
        </w:rPr>
        <w:t>S</w:t>
      </w:r>
      <w:r w:rsidR="00A006B4">
        <w:rPr>
          <w:rFonts w:eastAsia="Calibri"/>
          <w:bCs/>
        </w:rPr>
        <w:t>tatistic</w:t>
      </w:r>
      <w:r w:rsidR="00890030">
        <w:rPr>
          <w:rFonts w:eastAsia="Calibri"/>
          <w:bCs/>
        </w:rPr>
        <w:t>al</w:t>
      </w:r>
      <w:r w:rsidR="00A006B4">
        <w:rPr>
          <w:rFonts w:eastAsia="Calibri"/>
          <w:bCs/>
        </w:rPr>
        <w:t xml:space="preserve"> </w:t>
      </w:r>
      <w:r w:rsidR="0007767F" w:rsidRPr="0007767F">
        <w:rPr>
          <w:rFonts w:eastAsia="Calibri"/>
          <w:bCs/>
        </w:rPr>
        <w:t>D</w:t>
      </w:r>
      <w:r w:rsidR="00A006B4">
        <w:rPr>
          <w:rFonts w:eastAsia="Calibri"/>
          <w:bCs/>
        </w:rPr>
        <w:t>ivision</w:t>
      </w:r>
      <w:r w:rsidR="0007767F" w:rsidRPr="0007767F">
        <w:rPr>
          <w:rFonts w:eastAsia="Calibri"/>
          <w:bCs/>
        </w:rPr>
        <w:t xml:space="preserve"> </w:t>
      </w:r>
      <w:r w:rsidR="00BA514F">
        <w:rPr>
          <w:rFonts w:eastAsia="Calibri"/>
          <w:bCs/>
        </w:rPr>
        <w:t xml:space="preserve">(UNSD) </w:t>
      </w:r>
      <w:r w:rsidR="0007767F" w:rsidRPr="0007767F">
        <w:rPr>
          <w:rFonts w:eastAsia="Calibri"/>
          <w:bCs/>
        </w:rPr>
        <w:t>for the UN</w:t>
      </w:r>
      <w:r w:rsidR="0007767F">
        <w:rPr>
          <w:rFonts w:eastAsia="Calibri"/>
          <w:bCs/>
        </w:rPr>
        <w:t xml:space="preserve"> </w:t>
      </w:r>
      <w:r w:rsidR="0007767F" w:rsidRPr="0007767F">
        <w:rPr>
          <w:rFonts w:eastAsia="Calibri"/>
          <w:bCs/>
        </w:rPr>
        <w:t>S</w:t>
      </w:r>
      <w:r w:rsidR="0007767F">
        <w:rPr>
          <w:rFonts w:eastAsia="Calibri"/>
          <w:bCs/>
        </w:rPr>
        <w:t>ecretary-General</w:t>
      </w:r>
      <w:r w:rsidR="00A006B4">
        <w:rPr>
          <w:rFonts w:eastAsia="Calibri"/>
          <w:bCs/>
        </w:rPr>
        <w:t>’s</w:t>
      </w:r>
      <w:r w:rsidR="0007767F" w:rsidRPr="0007767F">
        <w:rPr>
          <w:rFonts w:eastAsia="Calibri"/>
          <w:bCs/>
        </w:rPr>
        <w:t xml:space="preserve"> Progress Report on SDGs (in 2017 and 2018)</w:t>
      </w:r>
      <w:r w:rsidR="007711F9">
        <w:rPr>
          <w:rFonts w:eastAsia="Calibri"/>
          <w:bCs/>
        </w:rPr>
        <w:t>.</w:t>
      </w:r>
      <w:r w:rsidR="0007767F">
        <w:rPr>
          <w:rStyle w:val="FootnoteReference"/>
          <w:rFonts w:eastAsia="Calibri"/>
          <w:bCs/>
        </w:rPr>
        <w:footnoteReference w:id="8"/>
      </w:r>
      <w:r w:rsidR="0007767F">
        <w:rPr>
          <w:rFonts w:eastAsia="Calibri"/>
          <w:bCs/>
        </w:rPr>
        <w:t xml:space="preserve"> </w:t>
      </w:r>
      <w:r w:rsidR="00E05DA5">
        <w:rPr>
          <w:rFonts w:eastAsia="Calibri"/>
          <w:bCs/>
        </w:rPr>
        <w:t xml:space="preserve">The </w:t>
      </w:r>
      <w:r w:rsidR="00ED4A44">
        <w:rPr>
          <w:rFonts w:eastAsia="Calibri"/>
          <w:bCs/>
        </w:rPr>
        <w:t xml:space="preserve">UNSG’s </w:t>
      </w:r>
      <w:r w:rsidR="00E05DA5">
        <w:rPr>
          <w:rFonts w:eastAsia="Calibri"/>
          <w:bCs/>
        </w:rPr>
        <w:t xml:space="preserve">2018 Progress Report </w:t>
      </w:r>
      <w:r>
        <w:rPr>
          <w:rFonts w:eastAsia="Calibri"/>
          <w:bCs/>
        </w:rPr>
        <w:t xml:space="preserve">accordingly </w:t>
      </w:r>
      <w:r w:rsidR="00E05DA5">
        <w:rPr>
          <w:rFonts w:eastAsia="Calibri"/>
          <w:bCs/>
        </w:rPr>
        <w:t xml:space="preserve">notes in para 132: </w:t>
      </w:r>
    </w:p>
    <w:p w:rsidR="00D724AD" w:rsidRPr="007477D1" w:rsidRDefault="00E05DA5" w:rsidP="003173B5">
      <w:pPr>
        <w:ind w:left="450"/>
        <w:rPr>
          <w:rFonts w:eastAsia="Calibri"/>
          <w:bCs/>
        </w:rPr>
      </w:pPr>
      <w:r>
        <w:rPr>
          <w:rFonts w:eastAsia="Calibri"/>
          <w:bCs/>
        </w:rPr>
        <w:t>“Freedom-of-</w:t>
      </w:r>
      <w:r w:rsidRPr="007477D1">
        <w:rPr>
          <w:rFonts w:eastAsia="Calibri"/>
          <w:bCs/>
        </w:rPr>
        <w:t>information laws and policies have been adopted by 116 countries, with  at  least  25  countries  adopting  such  laws  over  the  past  five  years.  Expert assessments, however, suggest that implementation remains a challenge. Among the 109  countries  with  implementation  data,  only  76  had  sufficient  provisions  for requesting  procedures,  including  those  relating  to  clear  and  relatively  simple procedures; clear and reasonable maximum timelines; and assistance provided by public officials to requesters.”</w:t>
      </w:r>
      <w:r w:rsidR="00A32C5E">
        <w:rPr>
          <w:rFonts w:eastAsia="Calibri"/>
          <w:bCs/>
        </w:rPr>
        <w:t xml:space="preserve"> This assessment is </w:t>
      </w:r>
      <w:r w:rsidR="00EA53DA">
        <w:rPr>
          <w:rFonts w:eastAsia="Calibri"/>
          <w:bCs/>
        </w:rPr>
        <w:t xml:space="preserve">founded on a database </w:t>
      </w:r>
      <w:r w:rsidR="00A32C5E">
        <w:rPr>
          <w:rFonts w:eastAsia="Calibri"/>
          <w:bCs/>
        </w:rPr>
        <w:t>compiled by UNESCO/IPDC secretariat and submitted</w:t>
      </w:r>
      <w:r w:rsidR="009F0275">
        <w:rPr>
          <w:rFonts w:eastAsia="Calibri"/>
          <w:bCs/>
        </w:rPr>
        <w:t xml:space="preserve"> to UNDESA</w:t>
      </w:r>
      <w:r w:rsidR="00A32C5E">
        <w:rPr>
          <w:rFonts w:eastAsia="Calibri"/>
          <w:bCs/>
        </w:rPr>
        <w:t>.</w:t>
      </w:r>
      <w:r w:rsidR="00A72764">
        <w:rPr>
          <w:rStyle w:val="FootnoteReference"/>
          <w:rFonts w:eastAsia="Calibri"/>
          <w:bCs/>
        </w:rPr>
        <w:footnoteReference w:id="9"/>
      </w:r>
      <w:r w:rsidR="00A32C5E">
        <w:rPr>
          <w:rFonts w:eastAsia="Calibri"/>
          <w:bCs/>
        </w:rPr>
        <w:t xml:space="preserve"> </w:t>
      </w:r>
    </w:p>
    <w:p w:rsidR="006763AB" w:rsidRDefault="00153514" w:rsidP="003173B5">
      <w:pPr>
        <w:rPr>
          <w:rFonts w:eastAsia="Calibri"/>
          <w:bCs/>
        </w:rPr>
      </w:pPr>
      <w:r>
        <w:rPr>
          <w:rFonts w:eastAsia="Calibri"/>
          <w:bCs/>
        </w:rPr>
        <w:t xml:space="preserve">The information entailed </w:t>
      </w:r>
      <w:r w:rsidR="00ED4A44">
        <w:rPr>
          <w:rFonts w:eastAsia="Calibri"/>
          <w:bCs/>
        </w:rPr>
        <w:t xml:space="preserve">in UNESCO’s monitoring to date </w:t>
      </w:r>
      <w:r>
        <w:rPr>
          <w:rFonts w:eastAsia="Calibri"/>
          <w:bCs/>
        </w:rPr>
        <w:t xml:space="preserve">covers </w:t>
      </w:r>
      <w:r w:rsidR="00ED4A44">
        <w:rPr>
          <w:rFonts w:eastAsia="Calibri"/>
          <w:bCs/>
        </w:rPr>
        <w:t xml:space="preserve">largely </w:t>
      </w:r>
      <w:r w:rsidR="00D724AD">
        <w:rPr>
          <w:rFonts w:eastAsia="Calibri"/>
          <w:bCs/>
        </w:rPr>
        <w:t xml:space="preserve">a </w:t>
      </w:r>
      <w:r w:rsidR="009B79F2">
        <w:rPr>
          <w:rFonts w:eastAsia="Calibri"/>
          <w:bCs/>
        </w:rPr>
        <w:t xml:space="preserve">desk-based </w:t>
      </w:r>
      <w:r>
        <w:rPr>
          <w:rFonts w:eastAsia="Calibri"/>
          <w:bCs/>
        </w:rPr>
        <w:t>analysis</w:t>
      </w:r>
      <w:r w:rsidR="00F56008">
        <w:rPr>
          <w:rFonts w:eastAsia="Calibri"/>
          <w:bCs/>
        </w:rPr>
        <w:t>,</w:t>
      </w:r>
      <w:r>
        <w:rPr>
          <w:rFonts w:eastAsia="Calibri"/>
          <w:bCs/>
        </w:rPr>
        <w:t xml:space="preserve"> </w:t>
      </w:r>
      <w:r w:rsidR="00F56008" w:rsidRPr="00F56008">
        <w:rPr>
          <w:rFonts w:eastAsia="Calibri"/>
          <w:bCs/>
        </w:rPr>
        <w:t>using credible secondary sources</w:t>
      </w:r>
      <w:r w:rsidR="00F56008">
        <w:rPr>
          <w:rFonts w:eastAsia="Calibri"/>
          <w:bCs/>
        </w:rPr>
        <w:t xml:space="preserve">, </w:t>
      </w:r>
      <w:r>
        <w:rPr>
          <w:rFonts w:eastAsia="Calibri"/>
          <w:bCs/>
        </w:rPr>
        <w:t>of</w:t>
      </w:r>
      <w:r w:rsidR="00F56008">
        <w:rPr>
          <w:rFonts w:eastAsia="Calibri"/>
          <w:bCs/>
        </w:rPr>
        <w:t xml:space="preserve"> the field of</w:t>
      </w:r>
      <w:r>
        <w:rPr>
          <w:rFonts w:eastAsia="Calibri"/>
          <w:bCs/>
        </w:rPr>
        <w:t xml:space="preserve"> </w:t>
      </w:r>
      <w:r w:rsidR="008D5FB2" w:rsidRPr="007477D1">
        <w:rPr>
          <w:rFonts w:eastAsia="Calibri"/>
          <w:b/>
          <w:bCs/>
          <w:u w:val="single"/>
        </w:rPr>
        <w:t>adoption</w:t>
      </w:r>
      <w:r w:rsidR="00F56008">
        <w:rPr>
          <w:rFonts w:eastAsia="Calibri"/>
          <w:b/>
          <w:bCs/>
          <w:u w:val="single"/>
        </w:rPr>
        <w:t xml:space="preserve"> of guarantees</w:t>
      </w:r>
      <w:r w:rsidR="008D5FB2">
        <w:rPr>
          <w:rFonts w:eastAsia="Calibri"/>
          <w:bCs/>
        </w:rPr>
        <w:t xml:space="preserve">: </w:t>
      </w:r>
      <w:r w:rsidR="00AB0CED">
        <w:rPr>
          <w:rFonts w:eastAsia="Calibri"/>
          <w:bCs/>
        </w:rPr>
        <w:t xml:space="preserve">(i) </w:t>
      </w:r>
      <w:r w:rsidR="008D5FB2">
        <w:rPr>
          <w:rFonts w:eastAsia="Calibri"/>
          <w:bCs/>
        </w:rPr>
        <w:t>whether there is a relevant legal guarantee (</w:t>
      </w:r>
      <w:r w:rsidR="002048B5">
        <w:rPr>
          <w:rFonts w:eastAsia="Calibri"/>
          <w:bCs/>
        </w:rPr>
        <w:t>e.g.</w:t>
      </w:r>
      <w:r w:rsidR="00B54B3C">
        <w:rPr>
          <w:rFonts w:eastAsia="Calibri"/>
          <w:bCs/>
        </w:rPr>
        <w:t xml:space="preserve"> </w:t>
      </w:r>
      <w:r w:rsidR="00AB0CED">
        <w:rPr>
          <w:rFonts w:eastAsia="Calibri"/>
          <w:bCs/>
        </w:rPr>
        <w:t xml:space="preserve">a law); (ii) </w:t>
      </w:r>
      <w:r w:rsidR="008D5FB2">
        <w:rPr>
          <w:rFonts w:eastAsia="Calibri"/>
          <w:bCs/>
        </w:rPr>
        <w:t xml:space="preserve">whether this is </w:t>
      </w:r>
      <w:r>
        <w:rPr>
          <w:rFonts w:eastAsia="Calibri"/>
          <w:bCs/>
        </w:rPr>
        <w:t>in terms of international standard</w:t>
      </w:r>
      <w:r w:rsidR="00014215">
        <w:rPr>
          <w:rFonts w:eastAsia="Calibri"/>
          <w:bCs/>
        </w:rPr>
        <w:t>s (such as scope of exceptions)</w:t>
      </w:r>
      <w:r w:rsidR="004D42B4">
        <w:rPr>
          <w:rFonts w:eastAsia="Calibri"/>
          <w:bCs/>
        </w:rPr>
        <w:t xml:space="preserve">, and </w:t>
      </w:r>
      <w:r w:rsidR="00AB0CED">
        <w:rPr>
          <w:rFonts w:eastAsia="Calibri"/>
          <w:bCs/>
        </w:rPr>
        <w:t xml:space="preserve">(iii) </w:t>
      </w:r>
      <w:r w:rsidR="004D42B4">
        <w:rPr>
          <w:rFonts w:eastAsia="Calibri"/>
          <w:bCs/>
        </w:rPr>
        <w:t>whether the guarantee includes promotional measures</w:t>
      </w:r>
      <w:r>
        <w:rPr>
          <w:rFonts w:eastAsia="Calibri"/>
          <w:bCs/>
        </w:rPr>
        <w:t>.</w:t>
      </w:r>
      <w:r w:rsidR="00385A2F">
        <w:rPr>
          <w:rFonts w:eastAsia="Calibri"/>
          <w:bCs/>
        </w:rPr>
        <w:t xml:space="preserve"> </w:t>
      </w:r>
    </w:p>
    <w:p w:rsidR="0064066D" w:rsidRPr="00F56008" w:rsidRDefault="00A023E3" w:rsidP="003173B5">
      <w:r>
        <w:t>This is in the context of</w:t>
      </w:r>
      <w:r w:rsidR="00F56008">
        <w:t xml:space="preserve"> metadata for indicator 16.10.2 (See Appendix I)</w:t>
      </w:r>
      <w:r>
        <w:t>, which</w:t>
      </w:r>
      <w:r w:rsidR="00F56008">
        <w:t xml:space="preserve"> provides pointers to sub-indicators allowing for a more concrete elaboration of what it means to monitor adoption and implementation. The possibility exists to provide further development in these metadata. </w:t>
      </w:r>
      <w:r w:rsidR="006763AB">
        <w:rPr>
          <w:rFonts w:eastAsia="Calibri"/>
          <w:bCs/>
        </w:rPr>
        <w:t xml:space="preserve">Taken together, </w:t>
      </w:r>
      <w:r w:rsidR="00BA514F">
        <w:rPr>
          <w:rFonts w:eastAsia="Calibri"/>
          <w:bCs/>
        </w:rPr>
        <w:t>not all envisaged meta-data characteristics agreed at the UNSD</w:t>
      </w:r>
      <w:r w:rsidR="00BA514F">
        <w:rPr>
          <w:rStyle w:val="FootnoteReference"/>
          <w:rFonts w:eastAsia="Calibri"/>
          <w:bCs/>
        </w:rPr>
        <w:footnoteReference w:id="10"/>
      </w:r>
      <w:r w:rsidR="00BA514F">
        <w:rPr>
          <w:rFonts w:eastAsia="Calibri"/>
          <w:bCs/>
        </w:rPr>
        <w:t xml:space="preserve"> </w:t>
      </w:r>
      <w:r w:rsidR="006763AB">
        <w:rPr>
          <w:rFonts w:eastAsia="Calibri"/>
          <w:bCs/>
        </w:rPr>
        <w:t>are covered</w:t>
      </w:r>
      <w:r w:rsidR="00B60402">
        <w:rPr>
          <w:rFonts w:eastAsia="Calibri"/>
          <w:bCs/>
        </w:rPr>
        <w:t xml:space="preserve"> by UNESCO</w:t>
      </w:r>
      <w:r w:rsidR="006763AB">
        <w:rPr>
          <w:rFonts w:eastAsia="Calibri"/>
          <w:bCs/>
        </w:rPr>
        <w:t xml:space="preserve">. </w:t>
      </w:r>
      <w:r w:rsidR="00B60402">
        <w:rPr>
          <w:rFonts w:eastAsia="Calibri"/>
          <w:bCs/>
        </w:rPr>
        <w:t xml:space="preserve">In addition, </w:t>
      </w:r>
      <w:r w:rsidR="006763AB">
        <w:rPr>
          <w:rFonts w:eastAsia="Calibri"/>
          <w:bCs/>
        </w:rPr>
        <w:t xml:space="preserve">the exercise has </w:t>
      </w:r>
      <w:r w:rsidR="00385A2F">
        <w:rPr>
          <w:rFonts w:eastAsia="Calibri"/>
          <w:bCs/>
        </w:rPr>
        <w:t>not</w:t>
      </w:r>
      <w:r w:rsidR="00014215">
        <w:rPr>
          <w:rFonts w:eastAsia="Calibri"/>
          <w:bCs/>
        </w:rPr>
        <w:t xml:space="preserve"> extensively </w:t>
      </w:r>
      <w:r w:rsidR="00385A2F">
        <w:rPr>
          <w:rFonts w:eastAsia="Calibri"/>
          <w:bCs/>
        </w:rPr>
        <w:t>cover</w:t>
      </w:r>
      <w:r w:rsidR="00014215">
        <w:rPr>
          <w:rFonts w:eastAsia="Calibri"/>
          <w:bCs/>
        </w:rPr>
        <w:t>ed</w:t>
      </w:r>
      <w:r w:rsidR="00385A2F">
        <w:rPr>
          <w:rFonts w:eastAsia="Calibri"/>
          <w:bCs/>
        </w:rPr>
        <w:t xml:space="preserve"> </w:t>
      </w:r>
      <w:r w:rsidR="006763AB">
        <w:rPr>
          <w:rFonts w:eastAsia="Calibri"/>
          <w:bCs/>
        </w:rPr>
        <w:t xml:space="preserve">the range of </w:t>
      </w:r>
      <w:r w:rsidR="00385A2F">
        <w:rPr>
          <w:rFonts w:eastAsia="Calibri"/>
          <w:bCs/>
        </w:rPr>
        <w:t xml:space="preserve">institutional and systemic </w:t>
      </w:r>
      <w:r w:rsidR="00B60402">
        <w:rPr>
          <w:rFonts w:eastAsia="Calibri"/>
          <w:bCs/>
        </w:rPr>
        <w:lastRenderedPageBreak/>
        <w:t xml:space="preserve">guarantees </w:t>
      </w:r>
      <w:r w:rsidR="00014215">
        <w:rPr>
          <w:rFonts w:eastAsia="Calibri"/>
          <w:bCs/>
        </w:rPr>
        <w:t>(</w:t>
      </w:r>
      <w:r w:rsidR="00C75FC4">
        <w:rPr>
          <w:rFonts w:eastAsia="Calibri"/>
          <w:bCs/>
        </w:rPr>
        <w:t>e.g.</w:t>
      </w:r>
      <w:r w:rsidR="00014215">
        <w:rPr>
          <w:rFonts w:eastAsia="Calibri"/>
          <w:bCs/>
        </w:rPr>
        <w:t xml:space="preserve"> whether there is provision for an independent oversight agency)</w:t>
      </w:r>
      <w:r w:rsidR="00385A2F">
        <w:rPr>
          <w:rFonts w:eastAsia="Calibri"/>
          <w:bCs/>
        </w:rPr>
        <w:t xml:space="preserve">. </w:t>
      </w:r>
      <w:r w:rsidR="00EE2AC8">
        <w:rPr>
          <w:rFonts w:eastAsia="Calibri"/>
          <w:bCs/>
        </w:rPr>
        <w:t>Sex</w:t>
      </w:r>
      <w:r w:rsidR="00EB159A">
        <w:rPr>
          <w:rFonts w:eastAsia="Calibri"/>
          <w:bCs/>
        </w:rPr>
        <w:t xml:space="preserve">-disaggregation is absent. Finally, </w:t>
      </w:r>
      <w:r w:rsidR="00C62A2F">
        <w:t>very little</w:t>
      </w:r>
      <w:r w:rsidR="0091259E">
        <w:t xml:space="preserve"> d</w:t>
      </w:r>
      <w:r w:rsidR="00153514">
        <w:rPr>
          <w:rFonts w:eastAsia="Calibri"/>
          <w:bCs/>
        </w:rPr>
        <w:t xml:space="preserve">ata on actual </w:t>
      </w:r>
      <w:r w:rsidR="00153514" w:rsidRPr="007477D1">
        <w:rPr>
          <w:rFonts w:eastAsia="Calibri"/>
          <w:b/>
          <w:bCs/>
          <w:u w:val="single"/>
        </w:rPr>
        <w:t>implementation</w:t>
      </w:r>
      <w:r w:rsidR="00153514">
        <w:rPr>
          <w:rFonts w:eastAsia="Calibri"/>
          <w:bCs/>
        </w:rPr>
        <w:t xml:space="preserve"> </w:t>
      </w:r>
      <w:r w:rsidR="00385A2F">
        <w:rPr>
          <w:rFonts w:eastAsia="Calibri"/>
          <w:bCs/>
        </w:rPr>
        <w:t xml:space="preserve">(or </w:t>
      </w:r>
      <w:r w:rsidR="00805E08">
        <w:rPr>
          <w:rFonts w:eastAsia="Calibri"/>
          <w:bCs/>
        </w:rPr>
        <w:t xml:space="preserve">actual </w:t>
      </w:r>
      <w:r w:rsidR="00385A2F">
        <w:rPr>
          <w:rFonts w:eastAsia="Calibri"/>
          <w:bCs/>
        </w:rPr>
        <w:t>operationalisation</w:t>
      </w:r>
      <w:r w:rsidR="00EE2AC8">
        <w:rPr>
          <w:rFonts w:eastAsia="Calibri"/>
          <w:bCs/>
        </w:rPr>
        <w:t xml:space="preserve"> </w:t>
      </w:r>
      <w:r w:rsidR="00385A2F">
        <w:rPr>
          <w:rFonts w:eastAsia="Calibri"/>
          <w:bCs/>
        </w:rPr>
        <w:t>/</w:t>
      </w:r>
      <w:r w:rsidR="00EE2AC8">
        <w:rPr>
          <w:rFonts w:eastAsia="Calibri"/>
          <w:bCs/>
        </w:rPr>
        <w:t xml:space="preserve"> </w:t>
      </w:r>
      <w:r w:rsidR="00385A2F">
        <w:rPr>
          <w:rFonts w:eastAsia="Calibri"/>
          <w:bCs/>
        </w:rPr>
        <w:t xml:space="preserve">performance) </w:t>
      </w:r>
      <w:r w:rsidR="00153514">
        <w:rPr>
          <w:rFonts w:eastAsia="Calibri"/>
          <w:bCs/>
        </w:rPr>
        <w:t>for all countries is currently reported.</w:t>
      </w:r>
      <w:r w:rsidR="00C62A2F">
        <w:rPr>
          <w:rStyle w:val="FootnoteReference"/>
          <w:rFonts w:eastAsia="Calibri"/>
          <w:bCs/>
        </w:rPr>
        <w:footnoteReference w:id="11"/>
      </w:r>
      <w:r w:rsidR="00153514">
        <w:rPr>
          <w:rFonts w:eastAsia="Calibri"/>
          <w:bCs/>
        </w:rPr>
        <w:t xml:space="preserve"> </w:t>
      </w:r>
      <w:r w:rsidR="00211F7F">
        <w:rPr>
          <w:rFonts w:eastAsia="Calibri"/>
          <w:bCs/>
        </w:rPr>
        <w:t xml:space="preserve">These important areas </w:t>
      </w:r>
      <w:r w:rsidR="003D76BE">
        <w:rPr>
          <w:rFonts w:eastAsia="Calibri"/>
          <w:bCs/>
        </w:rPr>
        <w:t>could be added to the metadata. I</w:t>
      </w:r>
      <w:r w:rsidR="00211F7F">
        <w:rPr>
          <w:rFonts w:eastAsia="Calibri"/>
          <w:bCs/>
        </w:rPr>
        <w:t xml:space="preserve">t </w:t>
      </w:r>
      <w:r w:rsidR="003D76BE">
        <w:rPr>
          <w:rFonts w:eastAsia="Calibri"/>
          <w:bCs/>
        </w:rPr>
        <w:t xml:space="preserve">is also very </w:t>
      </w:r>
      <w:r w:rsidR="00211F7F">
        <w:rPr>
          <w:rFonts w:eastAsia="Calibri"/>
          <w:bCs/>
        </w:rPr>
        <w:t xml:space="preserve">important to prioritise from the totality, what </w:t>
      </w:r>
      <w:r w:rsidR="003D76BE">
        <w:rPr>
          <w:rFonts w:eastAsia="Calibri"/>
          <w:bCs/>
        </w:rPr>
        <w:t xml:space="preserve">are </w:t>
      </w:r>
      <w:r w:rsidR="00211F7F">
        <w:rPr>
          <w:rFonts w:eastAsia="Calibri"/>
          <w:bCs/>
        </w:rPr>
        <w:t xml:space="preserve">the most important </w:t>
      </w:r>
      <w:r w:rsidR="003D76BE">
        <w:rPr>
          <w:rFonts w:eastAsia="Calibri"/>
          <w:bCs/>
        </w:rPr>
        <w:t xml:space="preserve">areas – in order to establish relevant focus </w:t>
      </w:r>
      <w:r w:rsidR="00211F7F">
        <w:rPr>
          <w:rFonts w:eastAsia="Calibri"/>
          <w:bCs/>
        </w:rPr>
        <w:t>in cases (like a “lite” assessment) where much less than the full picture can be captured.</w:t>
      </w:r>
    </w:p>
    <w:p w:rsidR="00D93957" w:rsidRDefault="00074966" w:rsidP="003173B5">
      <w:pPr>
        <w:rPr>
          <w:rFonts w:eastAsia="Calibri"/>
          <w:bCs/>
        </w:rPr>
      </w:pPr>
      <w:r>
        <w:rPr>
          <w:rFonts w:eastAsia="Calibri"/>
          <w:bCs/>
        </w:rPr>
        <w:t xml:space="preserve">To </w:t>
      </w:r>
      <w:r w:rsidR="00B60402">
        <w:rPr>
          <w:rFonts w:eastAsia="Calibri"/>
          <w:bCs/>
        </w:rPr>
        <w:t xml:space="preserve">partly remedy the </w:t>
      </w:r>
      <w:r>
        <w:rPr>
          <w:rFonts w:eastAsia="Calibri"/>
          <w:bCs/>
        </w:rPr>
        <w:t>gap</w:t>
      </w:r>
      <w:r w:rsidR="00B60402">
        <w:rPr>
          <w:rFonts w:eastAsia="Calibri"/>
          <w:bCs/>
        </w:rPr>
        <w:t>s</w:t>
      </w:r>
      <w:r>
        <w:rPr>
          <w:rFonts w:eastAsia="Calibri"/>
          <w:bCs/>
        </w:rPr>
        <w:t xml:space="preserve">, </w:t>
      </w:r>
      <w:r w:rsidR="007B4004">
        <w:rPr>
          <w:rFonts w:eastAsia="Calibri"/>
          <w:bCs/>
        </w:rPr>
        <w:t xml:space="preserve">and </w:t>
      </w:r>
      <w:r w:rsidR="00542B7B">
        <w:rPr>
          <w:rFonts w:eastAsia="Calibri"/>
          <w:bCs/>
        </w:rPr>
        <w:t xml:space="preserve">to </w:t>
      </w:r>
      <w:r w:rsidR="007B4004">
        <w:rPr>
          <w:rFonts w:eastAsia="Calibri"/>
          <w:bCs/>
        </w:rPr>
        <w:t xml:space="preserve">supplement the global data available from other sources, </w:t>
      </w:r>
      <w:r>
        <w:rPr>
          <w:rFonts w:eastAsia="Calibri"/>
          <w:bCs/>
        </w:rPr>
        <w:t xml:space="preserve">UNESCO/IPDC secretariat is seeking to elicit </w:t>
      </w:r>
      <w:r w:rsidR="007711F9">
        <w:rPr>
          <w:rFonts w:eastAsia="Calibri"/>
          <w:bCs/>
        </w:rPr>
        <w:t xml:space="preserve">Member States </w:t>
      </w:r>
      <w:r>
        <w:rPr>
          <w:rFonts w:eastAsia="Calibri"/>
          <w:bCs/>
        </w:rPr>
        <w:t xml:space="preserve">voluntary </w:t>
      </w:r>
      <w:r w:rsidR="00844FA0">
        <w:rPr>
          <w:rFonts w:eastAsia="Calibri"/>
          <w:bCs/>
        </w:rPr>
        <w:t xml:space="preserve">involvement as active and voluntary data sources </w:t>
      </w:r>
      <w:r w:rsidR="007711F9">
        <w:rPr>
          <w:rFonts w:eastAsia="Calibri"/>
          <w:bCs/>
        </w:rPr>
        <w:t xml:space="preserve">in </w:t>
      </w:r>
      <w:r w:rsidR="003909B8">
        <w:rPr>
          <w:rFonts w:eastAsia="Calibri"/>
          <w:bCs/>
        </w:rPr>
        <w:t xml:space="preserve">UNESCO’s global </w:t>
      </w:r>
      <w:r w:rsidR="00191543">
        <w:rPr>
          <w:rFonts w:eastAsia="Calibri"/>
          <w:bCs/>
        </w:rPr>
        <w:t xml:space="preserve">SDG </w:t>
      </w:r>
      <w:r w:rsidR="00B60402">
        <w:rPr>
          <w:rFonts w:eastAsia="Calibri"/>
          <w:bCs/>
        </w:rPr>
        <w:t xml:space="preserve">16.10.2 </w:t>
      </w:r>
      <w:r w:rsidR="005A0639" w:rsidRPr="007711F9">
        <w:rPr>
          <w:rFonts w:eastAsia="Calibri"/>
          <w:bCs/>
        </w:rPr>
        <w:t>monitor</w:t>
      </w:r>
      <w:r w:rsidR="005A0639">
        <w:rPr>
          <w:rFonts w:eastAsia="Calibri"/>
          <w:bCs/>
        </w:rPr>
        <w:t xml:space="preserve">ing </w:t>
      </w:r>
      <w:r>
        <w:rPr>
          <w:rFonts w:eastAsia="Calibri"/>
          <w:bCs/>
        </w:rPr>
        <w:t xml:space="preserve">- primarily </w:t>
      </w:r>
      <w:r w:rsidR="00F316D6">
        <w:rPr>
          <w:rFonts w:eastAsia="Calibri"/>
          <w:bCs/>
        </w:rPr>
        <w:t xml:space="preserve">(though not only) </w:t>
      </w:r>
      <w:r>
        <w:rPr>
          <w:rFonts w:eastAsia="Calibri"/>
          <w:bCs/>
        </w:rPr>
        <w:t xml:space="preserve">as regards </w:t>
      </w:r>
      <w:r w:rsidR="008D2647" w:rsidRPr="007477D1">
        <w:rPr>
          <w:rFonts w:eastAsia="Calibri"/>
          <w:b/>
          <w:bCs/>
        </w:rPr>
        <w:t>implementation</w:t>
      </w:r>
      <w:r w:rsidR="008D2647">
        <w:rPr>
          <w:rFonts w:eastAsia="Calibri"/>
          <w:bCs/>
        </w:rPr>
        <w:t xml:space="preserve"> of “public access to information”</w:t>
      </w:r>
      <w:r w:rsidR="00E15C85">
        <w:rPr>
          <w:rFonts w:eastAsia="Calibri"/>
          <w:bCs/>
        </w:rPr>
        <w:t xml:space="preserve">. </w:t>
      </w:r>
      <w:r w:rsidR="00B60402">
        <w:rPr>
          <w:rFonts w:eastAsia="Calibri"/>
          <w:bCs/>
        </w:rPr>
        <w:t xml:space="preserve">One result of this would be for UNESCO to produce more comprehensive reporting on the state of progress in public access to information over time.  </w:t>
      </w:r>
      <w:r w:rsidR="00E15C85">
        <w:rPr>
          <w:rFonts w:eastAsia="Calibri"/>
          <w:bCs/>
        </w:rPr>
        <w:t xml:space="preserve">The resulting information </w:t>
      </w:r>
      <w:r w:rsidR="00844FA0">
        <w:rPr>
          <w:rFonts w:eastAsia="Calibri"/>
          <w:bCs/>
        </w:rPr>
        <w:t xml:space="preserve">can </w:t>
      </w:r>
      <w:r w:rsidR="00541A34">
        <w:rPr>
          <w:rFonts w:eastAsia="Calibri"/>
          <w:bCs/>
        </w:rPr>
        <w:t xml:space="preserve">also </w:t>
      </w:r>
      <w:r w:rsidR="003909B8">
        <w:rPr>
          <w:rFonts w:eastAsia="Calibri"/>
          <w:bCs/>
        </w:rPr>
        <w:t xml:space="preserve">enrich </w:t>
      </w:r>
      <w:r w:rsidR="00E15C85">
        <w:rPr>
          <w:rFonts w:eastAsia="Calibri"/>
          <w:bCs/>
        </w:rPr>
        <w:t xml:space="preserve">each Member State’s </w:t>
      </w:r>
      <w:r w:rsidR="005A0639" w:rsidRPr="007711F9">
        <w:rPr>
          <w:rFonts w:eastAsia="Calibri"/>
          <w:bCs/>
        </w:rPr>
        <w:t>national</w:t>
      </w:r>
      <w:r w:rsidR="00844FA0">
        <w:rPr>
          <w:rFonts w:eastAsia="Calibri"/>
          <w:bCs/>
        </w:rPr>
        <w:t xml:space="preserve"> </w:t>
      </w:r>
      <w:r w:rsidR="005A0639" w:rsidRPr="007711F9">
        <w:rPr>
          <w:rFonts w:eastAsia="Calibri"/>
          <w:bCs/>
        </w:rPr>
        <w:t>and global</w:t>
      </w:r>
      <w:r w:rsidR="00844FA0">
        <w:rPr>
          <w:rFonts w:eastAsia="Calibri"/>
          <w:bCs/>
        </w:rPr>
        <w:t xml:space="preserve"> </w:t>
      </w:r>
      <w:r w:rsidR="00191543">
        <w:rPr>
          <w:rFonts w:eastAsia="Calibri"/>
          <w:bCs/>
        </w:rPr>
        <w:t xml:space="preserve">purposes </w:t>
      </w:r>
      <w:r w:rsidR="00844FA0">
        <w:rPr>
          <w:rFonts w:eastAsia="Calibri"/>
          <w:bCs/>
        </w:rPr>
        <w:t xml:space="preserve">(eg. Reporting to </w:t>
      </w:r>
      <w:r w:rsidR="00D93957">
        <w:rPr>
          <w:rFonts w:eastAsia="Calibri"/>
          <w:bCs/>
        </w:rPr>
        <w:t xml:space="preserve">national stakeholders, </w:t>
      </w:r>
      <w:r w:rsidR="00844FA0">
        <w:rPr>
          <w:rFonts w:eastAsia="Calibri"/>
          <w:bCs/>
        </w:rPr>
        <w:t xml:space="preserve">or </w:t>
      </w:r>
      <w:r w:rsidR="005A0639" w:rsidRPr="007711F9">
        <w:rPr>
          <w:rFonts w:eastAsia="Calibri"/>
          <w:bCs/>
        </w:rPr>
        <w:t xml:space="preserve">at the 2019 and subsequent </w:t>
      </w:r>
      <w:r w:rsidR="005A0639" w:rsidRPr="005A0639">
        <w:rPr>
          <w:rFonts w:eastAsia="Calibri"/>
          <w:bCs/>
        </w:rPr>
        <w:t>United Nations High-level Political Forum on Sustainable Development)</w:t>
      </w:r>
      <w:r w:rsidR="005A0639">
        <w:rPr>
          <w:rFonts w:eastAsia="Calibri"/>
          <w:bCs/>
        </w:rPr>
        <w:t xml:space="preserve">. </w:t>
      </w:r>
    </w:p>
    <w:p w:rsidR="00191543" w:rsidRPr="007477D1" w:rsidRDefault="00B9013F" w:rsidP="003173B5">
      <w:pPr>
        <w:rPr>
          <w:rFonts w:eastAsia="Calibri"/>
          <w:b/>
          <w:bCs/>
        </w:rPr>
      </w:pPr>
      <w:r>
        <w:rPr>
          <w:rFonts w:eastAsia="Calibri"/>
          <w:b/>
          <w:bCs/>
        </w:rPr>
        <w:t xml:space="preserve">TWO </w:t>
      </w:r>
      <w:r w:rsidR="00B54448" w:rsidRPr="007477D1">
        <w:rPr>
          <w:rFonts w:eastAsia="Calibri"/>
          <w:b/>
          <w:bCs/>
        </w:rPr>
        <w:t>ENVISONED RESEARCH TEMPLATES</w:t>
      </w:r>
      <w:r w:rsidR="00074966" w:rsidRPr="007477D1">
        <w:rPr>
          <w:rFonts w:eastAsia="Calibri"/>
          <w:b/>
          <w:bCs/>
        </w:rPr>
        <w:t xml:space="preserve"> </w:t>
      </w:r>
    </w:p>
    <w:p w:rsidR="0078208D" w:rsidRDefault="005A0639" w:rsidP="003173B5">
      <w:pPr>
        <w:rPr>
          <w:rFonts w:eastAsia="Calibri"/>
          <w:bCs/>
        </w:rPr>
      </w:pPr>
      <w:r>
        <w:rPr>
          <w:rFonts w:eastAsia="Calibri"/>
          <w:bCs/>
        </w:rPr>
        <w:t>The</w:t>
      </w:r>
      <w:r w:rsidRPr="005A0639">
        <w:rPr>
          <w:rFonts w:eastAsia="Calibri"/>
          <w:bCs/>
        </w:rPr>
        <w:t xml:space="preserve"> </w:t>
      </w:r>
      <w:r w:rsidR="00844FA0">
        <w:rPr>
          <w:rFonts w:eastAsia="Calibri"/>
          <w:bCs/>
        </w:rPr>
        <w:t xml:space="preserve">first </w:t>
      </w:r>
      <w:r w:rsidRPr="005A0639">
        <w:rPr>
          <w:rFonts w:eastAsia="Calibri"/>
          <w:bCs/>
        </w:rPr>
        <w:t xml:space="preserve">proposed </w:t>
      </w:r>
      <w:r w:rsidR="00844FA0">
        <w:rPr>
          <w:rFonts w:eastAsia="Calibri"/>
          <w:bCs/>
        </w:rPr>
        <w:t xml:space="preserve">“lite” </w:t>
      </w:r>
      <w:r w:rsidR="0078208D">
        <w:rPr>
          <w:rFonts w:eastAsia="Calibri"/>
          <w:bCs/>
        </w:rPr>
        <w:t>instrument</w:t>
      </w:r>
      <w:r w:rsidRPr="005A0639">
        <w:rPr>
          <w:rFonts w:eastAsia="Calibri"/>
          <w:bCs/>
        </w:rPr>
        <w:t xml:space="preserve"> for </w:t>
      </w:r>
      <w:r w:rsidR="00B54448">
        <w:rPr>
          <w:rFonts w:eastAsia="Calibri"/>
          <w:bCs/>
        </w:rPr>
        <w:t xml:space="preserve">assessing progress on </w:t>
      </w:r>
      <w:r w:rsidRPr="005A0639">
        <w:rPr>
          <w:rFonts w:eastAsia="Calibri"/>
          <w:bCs/>
        </w:rPr>
        <w:t xml:space="preserve">16.10.2 </w:t>
      </w:r>
      <w:r w:rsidR="00844FA0">
        <w:rPr>
          <w:rFonts w:eastAsia="Calibri"/>
          <w:bCs/>
        </w:rPr>
        <w:t xml:space="preserve">aspires to </w:t>
      </w:r>
      <w:r w:rsidR="00033696">
        <w:rPr>
          <w:rFonts w:eastAsia="Calibri"/>
          <w:bCs/>
        </w:rPr>
        <w:t xml:space="preserve">secure, over time, </w:t>
      </w:r>
      <w:r w:rsidR="00844FA0">
        <w:rPr>
          <w:rFonts w:eastAsia="Calibri"/>
          <w:bCs/>
        </w:rPr>
        <w:t>participation by all UNESCO Member States</w:t>
      </w:r>
      <w:r w:rsidR="000C7601">
        <w:rPr>
          <w:rFonts w:eastAsia="Calibri"/>
          <w:bCs/>
        </w:rPr>
        <w:t xml:space="preserve"> on a biannual basis</w:t>
      </w:r>
      <w:r w:rsidR="00074966">
        <w:rPr>
          <w:rFonts w:eastAsia="Calibri"/>
          <w:bCs/>
        </w:rPr>
        <w:t xml:space="preserve">. </w:t>
      </w:r>
      <w:r w:rsidR="00B9013F">
        <w:rPr>
          <w:rFonts w:eastAsia="Calibri"/>
          <w:bCs/>
        </w:rPr>
        <w:t xml:space="preserve">Often this would be with the support of national statistics agencies (who in turn may draw from other sources such as ATI/RTI/FOI oversight entities). </w:t>
      </w:r>
      <w:r w:rsidR="00F167AD">
        <w:rPr>
          <w:rFonts w:eastAsia="Calibri"/>
          <w:bCs/>
        </w:rPr>
        <w:t xml:space="preserve">For purposes </w:t>
      </w:r>
      <w:r w:rsidR="00B54448">
        <w:rPr>
          <w:rFonts w:eastAsia="Calibri"/>
          <w:bCs/>
        </w:rPr>
        <w:t>o</w:t>
      </w:r>
      <w:r w:rsidR="00F167AD">
        <w:rPr>
          <w:rFonts w:eastAsia="Calibri"/>
          <w:bCs/>
        </w:rPr>
        <w:t>f international aggregation and tabulation</w:t>
      </w:r>
      <w:r w:rsidR="00732E3A">
        <w:rPr>
          <w:rFonts w:eastAsia="Calibri"/>
          <w:bCs/>
        </w:rPr>
        <w:t xml:space="preserve"> by UNESCO/IPDC secretariat</w:t>
      </w:r>
      <w:r w:rsidR="00F167AD">
        <w:rPr>
          <w:rFonts w:eastAsia="Calibri"/>
          <w:bCs/>
        </w:rPr>
        <w:t>, most data here is envisaged as quantitative</w:t>
      </w:r>
      <w:r w:rsidR="00D146F3">
        <w:rPr>
          <w:rFonts w:eastAsia="Calibri"/>
          <w:bCs/>
        </w:rPr>
        <w:t xml:space="preserve">, and </w:t>
      </w:r>
      <w:r w:rsidR="00EE2AC8">
        <w:rPr>
          <w:rFonts w:eastAsia="Calibri"/>
          <w:bCs/>
        </w:rPr>
        <w:t>sex-</w:t>
      </w:r>
      <w:r w:rsidR="00D146F3">
        <w:rPr>
          <w:rFonts w:eastAsia="Calibri"/>
          <w:bCs/>
        </w:rPr>
        <w:t>disaggregated</w:t>
      </w:r>
      <w:r w:rsidR="00F167AD">
        <w:rPr>
          <w:rFonts w:eastAsia="Calibri"/>
          <w:bCs/>
        </w:rPr>
        <w:t xml:space="preserve">. The instrument </w:t>
      </w:r>
      <w:r w:rsidR="00074966">
        <w:rPr>
          <w:rFonts w:eastAsia="Calibri"/>
          <w:bCs/>
        </w:rPr>
        <w:t xml:space="preserve">therefore </w:t>
      </w:r>
      <w:r w:rsidR="00844FA0">
        <w:rPr>
          <w:rFonts w:eastAsia="Calibri"/>
          <w:bCs/>
        </w:rPr>
        <w:t xml:space="preserve">aims </w:t>
      </w:r>
      <w:r w:rsidRPr="005A0639">
        <w:rPr>
          <w:rFonts w:eastAsia="Calibri"/>
          <w:bCs/>
        </w:rPr>
        <w:t xml:space="preserve">to be </w:t>
      </w:r>
      <w:r w:rsidR="00732E3A">
        <w:rPr>
          <w:rFonts w:eastAsia="Calibri"/>
          <w:bCs/>
        </w:rPr>
        <w:t xml:space="preserve">a </w:t>
      </w:r>
      <w:r w:rsidRPr="005A0639">
        <w:rPr>
          <w:rFonts w:eastAsia="Calibri"/>
          <w:bCs/>
        </w:rPr>
        <w:t>simple</w:t>
      </w:r>
      <w:r w:rsidR="00844FA0">
        <w:rPr>
          <w:rFonts w:eastAsia="Calibri"/>
          <w:bCs/>
        </w:rPr>
        <w:t xml:space="preserve"> </w:t>
      </w:r>
      <w:r w:rsidR="00732E3A">
        <w:rPr>
          <w:rFonts w:eastAsia="Calibri"/>
          <w:bCs/>
        </w:rPr>
        <w:t>questionnaire</w:t>
      </w:r>
      <w:r w:rsidR="00F167AD">
        <w:rPr>
          <w:rFonts w:eastAsia="Calibri"/>
          <w:bCs/>
        </w:rPr>
        <w:t xml:space="preserve">, </w:t>
      </w:r>
      <w:r w:rsidR="00844FA0">
        <w:rPr>
          <w:rFonts w:eastAsia="Calibri"/>
          <w:bCs/>
        </w:rPr>
        <w:t>avoid</w:t>
      </w:r>
      <w:r w:rsidR="00F167AD">
        <w:rPr>
          <w:rFonts w:eastAsia="Calibri"/>
          <w:bCs/>
        </w:rPr>
        <w:t>ing</w:t>
      </w:r>
      <w:r w:rsidR="00844FA0">
        <w:rPr>
          <w:rFonts w:eastAsia="Calibri"/>
          <w:bCs/>
        </w:rPr>
        <w:t xml:space="preserve"> onerous </w:t>
      </w:r>
      <w:r w:rsidR="00033696">
        <w:rPr>
          <w:rFonts w:eastAsia="Calibri"/>
          <w:bCs/>
        </w:rPr>
        <w:t xml:space="preserve">or costly </w:t>
      </w:r>
      <w:r w:rsidR="00844FA0">
        <w:rPr>
          <w:rFonts w:eastAsia="Calibri"/>
          <w:bCs/>
        </w:rPr>
        <w:t xml:space="preserve">commitments. </w:t>
      </w:r>
      <w:r w:rsidR="00074966">
        <w:rPr>
          <w:rFonts w:eastAsia="Calibri"/>
          <w:bCs/>
        </w:rPr>
        <w:t>For this reason, the focus is on “</w:t>
      </w:r>
      <w:r w:rsidR="00B85A36">
        <w:rPr>
          <w:rFonts w:eastAsia="Calibri"/>
          <w:bCs/>
        </w:rPr>
        <w:t>eas</w:t>
      </w:r>
      <w:r w:rsidR="00F167AD">
        <w:rPr>
          <w:rFonts w:eastAsia="Calibri"/>
          <w:bCs/>
        </w:rPr>
        <w:t>ier</w:t>
      </w:r>
      <w:r w:rsidR="00074966">
        <w:rPr>
          <w:rFonts w:eastAsia="Calibri"/>
          <w:bCs/>
        </w:rPr>
        <w:t>” measurable</w:t>
      </w:r>
      <w:r w:rsidR="00B85A36">
        <w:rPr>
          <w:rFonts w:eastAsia="Calibri"/>
          <w:bCs/>
        </w:rPr>
        <w:t>s</w:t>
      </w:r>
      <w:r w:rsidR="00074966">
        <w:rPr>
          <w:rFonts w:eastAsia="Calibri"/>
          <w:bCs/>
        </w:rPr>
        <w:t xml:space="preserve"> </w:t>
      </w:r>
      <w:r w:rsidR="00F167AD">
        <w:rPr>
          <w:rFonts w:eastAsia="Calibri"/>
          <w:bCs/>
        </w:rPr>
        <w:t xml:space="preserve">rather than </w:t>
      </w:r>
      <w:r w:rsidR="00732E3A">
        <w:rPr>
          <w:rFonts w:eastAsia="Calibri"/>
          <w:bCs/>
        </w:rPr>
        <w:t xml:space="preserve">more complex </w:t>
      </w:r>
      <w:r w:rsidR="00732E3A">
        <w:t xml:space="preserve">ones </w:t>
      </w:r>
      <w:r w:rsidR="00F167AD">
        <w:rPr>
          <w:rFonts w:eastAsia="Calibri"/>
          <w:bCs/>
        </w:rPr>
        <w:t xml:space="preserve">(such as </w:t>
      </w:r>
      <w:r w:rsidR="00732E3A">
        <w:rPr>
          <w:rFonts w:eastAsia="Calibri"/>
          <w:bCs/>
        </w:rPr>
        <w:t xml:space="preserve">aggregations of </w:t>
      </w:r>
      <w:r w:rsidR="00F167AD">
        <w:rPr>
          <w:rFonts w:eastAsia="Calibri"/>
          <w:bCs/>
        </w:rPr>
        <w:t xml:space="preserve">performance of </w:t>
      </w:r>
      <w:r w:rsidR="00B9013F">
        <w:rPr>
          <w:rFonts w:eastAsia="Calibri"/>
          <w:bCs/>
        </w:rPr>
        <w:t xml:space="preserve">the range of </w:t>
      </w:r>
      <w:r w:rsidR="00F167AD">
        <w:rPr>
          <w:rFonts w:eastAsia="Calibri"/>
          <w:bCs/>
        </w:rPr>
        <w:t>state bodies in regard to pro-active disclosure of information).</w:t>
      </w:r>
      <w:r w:rsidR="00565ECA">
        <w:rPr>
          <w:rStyle w:val="FootnoteReference"/>
          <w:rFonts w:eastAsia="Calibri"/>
          <w:bCs/>
        </w:rPr>
        <w:footnoteReference w:id="12"/>
      </w:r>
      <w:r w:rsidR="00F167AD">
        <w:rPr>
          <w:rFonts w:eastAsia="Calibri"/>
          <w:bCs/>
        </w:rPr>
        <w:t xml:space="preserve"> </w:t>
      </w:r>
      <w:r w:rsidR="00565ECA">
        <w:rPr>
          <w:rFonts w:eastAsia="Calibri"/>
          <w:bCs/>
        </w:rPr>
        <w:t xml:space="preserve"> </w:t>
      </w:r>
    </w:p>
    <w:p w:rsidR="00211F7F" w:rsidRDefault="00033696" w:rsidP="003173B5">
      <w:pPr>
        <w:rPr>
          <w:rFonts w:eastAsia="Calibri"/>
          <w:bCs/>
        </w:rPr>
      </w:pPr>
      <w:r>
        <w:rPr>
          <w:rFonts w:eastAsia="Calibri"/>
          <w:bCs/>
        </w:rPr>
        <w:t xml:space="preserve">The second proposed “elaborated” instrument for 16.10.2 aspires to be taken up by a </w:t>
      </w:r>
      <w:r w:rsidR="00565ECA">
        <w:rPr>
          <w:rFonts w:eastAsia="Calibri"/>
          <w:bCs/>
        </w:rPr>
        <w:t xml:space="preserve">more </w:t>
      </w:r>
      <w:r>
        <w:rPr>
          <w:rFonts w:eastAsia="Calibri"/>
          <w:bCs/>
        </w:rPr>
        <w:t xml:space="preserve">limited number of Member States, </w:t>
      </w:r>
      <w:r w:rsidR="00565ECA">
        <w:rPr>
          <w:rFonts w:eastAsia="Calibri"/>
          <w:bCs/>
        </w:rPr>
        <w:t xml:space="preserve">where </w:t>
      </w:r>
      <w:r w:rsidR="000C7601">
        <w:rPr>
          <w:rFonts w:eastAsia="Calibri"/>
          <w:bCs/>
        </w:rPr>
        <w:t xml:space="preserve">and when </w:t>
      </w:r>
      <w:r w:rsidR="00565ECA">
        <w:rPr>
          <w:rFonts w:eastAsia="Calibri"/>
          <w:bCs/>
        </w:rPr>
        <w:t xml:space="preserve">there is appetite and resourcing for </w:t>
      </w:r>
      <w:r>
        <w:rPr>
          <w:rFonts w:eastAsia="Calibri"/>
          <w:bCs/>
        </w:rPr>
        <w:t>an in-depth review</w:t>
      </w:r>
      <w:r w:rsidR="00565ECA">
        <w:rPr>
          <w:rFonts w:eastAsia="Calibri"/>
          <w:bCs/>
        </w:rPr>
        <w:t xml:space="preserve"> to be conducted</w:t>
      </w:r>
      <w:r>
        <w:rPr>
          <w:rFonts w:eastAsia="Calibri"/>
          <w:bCs/>
        </w:rPr>
        <w:t xml:space="preserve">. This </w:t>
      </w:r>
      <w:r w:rsidR="00565ECA">
        <w:rPr>
          <w:rFonts w:eastAsia="Calibri"/>
          <w:bCs/>
        </w:rPr>
        <w:t>instrument</w:t>
      </w:r>
      <w:r w:rsidR="00D146F3">
        <w:rPr>
          <w:rFonts w:eastAsia="Calibri"/>
          <w:bCs/>
        </w:rPr>
        <w:t xml:space="preserve">, which must be </w:t>
      </w:r>
      <w:r w:rsidR="00EE2AC8">
        <w:rPr>
          <w:rFonts w:eastAsia="Calibri"/>
          <w:bCs/>
        </w:rPr>
        <w:t>gender-</w:t>
      </w:r>
      <w:r w:rsidR="00D146F3">
        <w:rPr>
          <w:rFonts w:eastAsia="Calibri"/>
          <w:bCs/>
        </w:rPr>
        <w:t>sensitive,</w:t>
      </w:r>
      <w:r w:rsidR="00565ECA">
        <w:rPr>
          <w:rFonts w:eastAsia="Calibri"/>
          <w:bCs/>
        </w:rPr>
        <w:t xml:space="preserve"> </w:t>
      </w:r>
      <w:r w:rsidR="00B9013F">
        <w:rPr>
          <w:rFonts w:eastAsia="Calibri"/>
          <w:bCs/>
        </w:rPr>
        <w:t>could “easily”</w:t>
      </w:r>
      <w:r>
        <w:rPr>
          <w:rFonts w:eastAsia="Calibri"/>
          <w:bCs/>
        </w:rPr>
        <w:t xml:space="preserve"> accommodate a range of qualitative data </w:t>
      </w:r>
      <w:r w:rsidR="00B9013F">
        <w:rPr>
          <w:rFonts w:eastAsia="Calibri"/>
          <w:bCs/>
        </w:rPr>
        <w:t xml:space="preserve">or case studies </w:t>
      </w:r>
      <w:r>
        <w:rPr>
          <w:rFonts w:eastAsia="Calibri"/>
          <w:bCs/>
        </w:rPr>
        <w:t>alongside the quantitative</w:t>
      </w:r>
      <w:r w:rsidR="008D2647">
        <w:rPr>
          <w:rFonts w:eastAsia="Calibri"/>
          <w:bCs/>
        </w:rPr>
        <w:t xml:space="preserve">. </w:t>
      </w:r>
      <w:r w:rsidR="001A68A6">
        <w:rPr>
          <w:rFonts w:eastAsia="Calibri"/>
          <w:bCs/>
        </w:rPr>
        <w:t>Dimensions of proactive disclosure</w:t>
      </w:r>
      <w:r w:rsidR="008D2647">
        <w:rPr>
          <w:rFonts w:eastAsia="Calibri"/>
          <w:bCs/>
        </w:rPr>
        <w:t xml:space="preserve"> could </w:t>
      </w:r>
      <w:r w:rsidR="001A68A6">
        <w:rPr>
          <w:rFonts w:eastAsia="Calibri"/>
          <w:bCs/>
        </w:rPr>
        <w:t>be covered in some detail.</w:t>
      </w:r>
      <w:r w:rsidR="00211F7F">
        <w:rPr>
          <w:rFonts w:eastAsia="Calibri"/>
          <w:bCs/>
        </w:rPr>
        <w:t xml:space="preserve"> It could be a more longitudinal approach.</w:t>
      </w:r>
      <w:r w:rsidR="001A68A6">
        <w:rPr>
          <w:rFonts w:eastAsia="Calibri"/>
          <w:bCs/>
        </w:rPr>
        <w:t xml:space="preserve"> </w:t>
      </w:r>
    </w:p>
    <w:p w:rsidR="00E32D6D" w:rsidRDefault="00290F0B" w:rsidP="003173B5">
      <w:pPr>
        <w:rPr>
          <w:rFonts w:eastAsia="Calibri"/>
          <w:bCs/>
        </w:rPr>
      </w:pPr>
      <w:r>
        <w:rPr>
          <w:rFonts w:eastAsia="Calibri"/>
          <w:bCs/>
        </w:rPr>
        <w:t>In addition, such an “elaborated” instrument might probe links between 16.10.2 and other SDG dimensions (</w:t>
      </w:r>
      <w:r w:rsidR="002048B5">
        <w:rPr>
          <w:rFonts w:eastAsia="Calibri"/>
          <w:bCs/>
        </w:rPr>
        <w:t>e.g. c</w:t>
      </w:r>
      <w:r>
        <w:rPr>
          <w:rFonts w:eastAsia="Calibri"/>
          <w:bCs/>
        </w:rPr>
        <w:t>ountering corruption; empowering women; combating climate change).</w:t>
      </w:r>
      <w:r w:rsidR="00211F7F">
        <w:rPr>
          <w:rFonts w:eastAsia="Calibri"/>
          <w:bCs/>
        </w:rPr>
        <w:t xml:space="preserve"> </w:t>
      </w:r>
      <w:r w:rsidR="00063F4D">
        <w:rPr>
          <w:rFonts w:eastAsia="Calibri"/>
          <w:bCs/>
        </w:rPr>
        <w:t xml:space="preserve">Given UNESCO’s interests in media as a </w:t>
      </w:r>
      <w:r w:rsidR="00B9013F">
        <w:rPr>
          <w:rFonts w:eastAsia="Calibri"/>
          <w:bCs/>
        </w:rPr>
        <w:t xml:space="preserve">major </w:t>
      </w:r>
      <w:r w:rsidR="00063F4D">
        <w:rPr>
          <w:rFonts w:eastAsia="Calibri"/>
          <w:bCs/>
        </w:rPr>
        <w:t>factor in public access to information, s</w:t>
      </w:r>
      <w:r w:rsidR="001A68A6">
        <w:rPr>
          <w:rFonts w:eastAsia="Calibri"/>
          <w:bCs/>
        </w:rPr>
        <w:t xml:space="preserve">uch an instrument could also include themes </w:t>
      </w:r>
      <w:r w:rsidR="008D2647">
        <w:rPr>
          <w:rFonts w:eastAsia="Calibri"/>
          <w:bCs/>
        </w:rPr>
        <w:t xml:space="preserve">such as the extent to which media </w:t>
      </w:r>
      <w:r w:rsidR="00565ECA">
        <w:rPr>
          <w:rFonts w:eastAsia="Calibri"/>
          <w:bCs/>
        </w:rPr>
        <w:t>actors effectively use RTI laws in investigative journalism (</w:t>
      </w:r>
      <w:r w:rsidR="002048B5">
        <w:rPr>
          <w:rFonts w:eastAsia="Calibri"/>
          <w:bCs/>
        </w:rPr>
        <w:t>e.g.</w:t>
      </w:r>
      <w:r w:rsidR="00565ECA">
        <w:rPr>
          <w:rFonts w:eastAsia="Calibri"/>
          <w:bCs/>
        </w:rPr>
        <w:t xml:space="preserve"> </w:t>
      </w:r>
      <w:r w:rsidR="00B9013F">
        <w:rPr>
          <w:rFonts w:eastAsia="Calibri"/>
          <w:bCs/>
        </w:rPr>
        <w:t xml:space="preserve">As in </w:t>
      </w:r>
      <w:r w:rsidR="00565ECA">
        <w:rPr>
          <w:rFonts w:eastAsia="Calibri"/>
          <w:bCs/>
        </w:rPr>
        <w:t>India</w:t>
      </w:r>
      <w:r w:rsidR="00EB159A">
        <w:rPr>
          <w:rStyle w:val="FootnoteReference"/>
          <w:rFonts w:eastAsia="Calibri"/>
          <w:bCs/>
        </w:rPr>
        <w:footnoteReference w:id="13"/>
      </w:r>
      <w:r w:rsidR="00565ECA">
        <w:rPr>
          <w:rFonts w:eastAsia="Calibri"/>
          <w:bCs/>
        </w:rPr>
        <w:t>) or for acquiring data on impunity for killings of journalists (</w:t>
      </w:r>
      <w:r w:rsidR="002048B5">
        <w:rPr>
          <w:rFonts w:eastAsia="Calibri"/>
          <w:bCs/>
        </w:rPr>
        <w:t>e.g.</w:t>
      </w:r>
      <w:r w:rsidR="00565ECA">
        <w:rPr>
          <w:rFonts w:eastAsia="Calibri"/>
          <w:bCs/>
        </w:rPr>
        <w:t xml:space="preserve"> </w:t>
      </w:r>
      <w:r w:rsidR="00B9013F">
        <w:rPr>
          <w:rFonts w:eastAsia="Calibri"/>
          <w:bCs/>
        </w:rPr>
        <w:t xml:space="preserve">As in </w:t>
      </w:r>
      <w:r w:rsidR="00565ECA">
        <w:rPr>
          <w:rFonts w:eastAsia="Calibri"/>
          <w:bCs/>
        </w:rPr>
        <w:t xml:space="preserve">Pakistan). </w:t>
      </w:r>
      <w:r w:rsidR="00E32D6D" w:rsidRPr="00687DA3">
        <w:rPr>
          <w:rFonts w:eastAsia="Calibri"/>
          <w:bCs/>
        </w:rPr>
        <w:t xml:space="preserve">This </w:t>
      </w:r>
      <w:r w:rsidR="001A68A6">
        <w:rPr>
          <w:rFonts w:eastAsia="Calibri"/>
          <w:bCs/>
        </w:rPr>
        <w:t xml:space="preserve">consideration </w:t>
      </w:r>
      <w:r w:rsidR="00E32D6D">
        <w:rPr>
          <w:rFonts w:eastAsia="Calibri"/>
          <w:bCs/>
        </w:rPr>
        <w:t>could further include</w:t>
      </w:r>
      <w:r w:rsidR="00E32D6D" w:rsidRPr="00687DA3">
        <w:rPr>
          <w:rFonts w:eastAsia="Calibri"/>
          <w:bCs/>
        </w:rPr>
        <w:t xml:space="preserve"> </w:t>
      </w:r>
      <w:r w:rsidR="00E32D6D">
        <w:rPr>
          <w:rFonts w:eastAsia="Calibri"/>
          <w:bCs/>
        </w:rPr>
        <w:t xml:space="preserve">assessing the extent to which </w:t>
      </w:r>
      <w:r w:rsidR="00E32D6D" w:rsidRPr="00687DA3">
        <w:rPr>
          <w:rFonts w:eastAsia="Calibri"/>
          <w:bCs/>
        </w:rPr>
        <w:lastRenderedPageBreak/>
        <w:t xml:space="preserve">journalists, and their organizations, </w:t>
      </w:r>
      <w:r w:rsidR="00E32D6D">
        <w:rPr>
          <w:rFonts w:eastAsia="Calibri"/>
          <w:bCs/>
        </w:rPr>
        <w:t xml:space="preserve">verify </w:t>
      </w:r>
      <w:r w:rsidR="00E32D6D" w:rsidRPr="00687DA3">
        <w:rPr>
          <w:rFonts w:eastAsia="Calibri"/>
          <w:bCs/>
        </w:rPr>
        <w:t xml:space="preserve">information provided by </w:t>
      </w:r>
      <w:r w:rsidR="00E32D6D">
        <w:rPr>
          <w:rFonts w:eastAsia="Calibri"/>
          <w:bCs/>
        </w:rPr>
        <w:t>governments</w:t>
      </w:r>
      <w:r w:rsidR="00E32D6D" w:rsidRPr="00687DA3">
        <w:rPr>
          <w:rFonts w:eastAsia="Calibri"/>
          <w:bCs/>
        </w:rPr>
        <w:t>.</w:t>
      </w:r>
      <w:r w:rsidR="00281F9F">
        <w:rPr>
          <w:rStyle w:val="FootnoteReference"/>
          <w:rFonts w:eastAsia="Calibri"/>
          <w:bCs/>
        </w:rPr>
        <w:footnoteReference w:id="14"/>
      </w:r>
      <w:r w:rsidR="007214ED">
        <w:rPr>
          <w:rFonts w:eastAsia="Calibri"/>
          <w:bCs/>
        </w:rPr>
        <w:t xml:space="preserve"> </w:t>
      </w:r>
      <w:r w:rsidR="00211F7F">
        <w:rPr>
          <w:rFonts w:eastAsia="Calibri"/>
          <w:bCs/>
        </w:rPr>
        <w:t>All this may require ad hoc case studies or reporting of examples, if it is not possible to integrate into a template.</w:t>
      </w:r>
    </w:p>
    <w:p w:rsidR="00046B92" w:rsidRPr="007477D1" w:rsidRDefault="00046B92" w:rsidP="003173B5">
      <w:pPr>
        <w:rPr>
          <w:rFonts w:eastAsia="Calibri"/>
          <w:b/>
          <w:bCs/>
        </w:rPr>
      </w:pPr>
      <w:r w:rsidRPr="007477D1">
        <w:rPr>
          <w:rFonts w:eastAsia="Calibri"/>
          <w:b/>
          <w:bCs/>
        </w:rPr>
        <w:t>CONCLUSION</w:t>
      </w:r>
    </w:p>
    <w:p w:rsidR="00046B92" w:rsidRDefault="00D460ED" w:rsidP="003173B5">
      <w:pPr>
        <w:rPr>
          <w:rFonts w:eastAsia="Calibri"/>
          <w:bCs/>
        </w:rPr>
      </w:pPr>
      <w:r w:rsidRPr="007711F9">
        <w:rPr>
          <w:rFonts w:eastAsia="Calibri"/>
          <w:bCs/>
        </w:rPr>
        <w:t xml:space="preserve">UNESCO </w:t>
      </w:r>
      <w:r>
        <w:rPr>
          <w:rFonts w:eastAsia="Calibri"/>
          <w:bCs/>
        </w:rPr>
        <w:t xml:space="preserve">hopes to </w:t>
      </w:r>
      <w:r w:rsidRPr="007711F9">
        <w:rPr>
          <w:rFonts w:eastAsia="Calibri"/>
          <w:bCs/>
        </w:rPr>
        <w:t>assist in awareness-raising and capacity-building</w:t>
      </w:r>
      <w:r w:rsidR="00046B92">
        <w:rPr>
          <w:rFonts w:eastAsia="Calibri"/>
          <w:bCs/>
        </w:rPr>
        <w:t>, and UIS with capacity-building,</w:t>
      </w:r>
      <w:r w:rsidRPr="007711F9">
        <w:rPr>
          <w:rFonts w:eastAsia="Calibri"/>
          <w:bCs/>
        </w:rPr>
        <w:t xml:space="preserve"> so that states </w:t>
      </w:r>
      <w:r w:rsidR="00FE230A">
        <w:rPr>
          <w:rFonts w:eastAsia="Calibri"/>
          <w:bCs/>
        </w:rPr>
        <w:t xml:space="preserve">and stakeholders </w:t>
      </w:r>
      <w:r w:rsidRPr="007711F9">
        <w:rPr>
          <w:rFonts w:eastAsia="Calibri"/>
          <w:bCs/>
        </w:rPr>
        <w:t xml:space="preserve">can develop systems to contribute to </w:t>
      </w:r>
      <w:r w:rsidR="00046B92">
        <w:rPr>
          <w:rFonts w:eastAsia="Calibri"/>
          <w:bCs/>
        </w:rPr>
        <w:t xml:space="preserve">both </w:t>
      </w:r>
      <w:r w:rsidRPr="007711F9">
        <w:rPr>
          <w:rFonts w:eastAsia="Calibri"/>
          <w:bCs/>
        </w:rPr>
        <w:t>the global monitoring via UNESCO, as well as feed their own direct efforts to report nationally and globally</w:t>
      </w:r>
      <w:r w:rsidR="00FE230A">
        <w:rPr>
          <w:rFonts w:eastAsia="Calibri"/>
          <w:bCs/>
        </w:rPr>
        <w:t xml:space="preserve"> as they see fit</w:t>
      </w:r>
      <w:r w:rsidRPr="007711F9">
        <w:rPr>
          <w:rFonts w:eastAsia="Calibri"/>
          <w:bCs/>
        </w:rPr>
        <w:t>.</w:t>
      </w:r>
      <w:r w:rsidR="00046B92">
        <w:rPr>
          <w:rFonts w:eastAsia="Calibri"/>
          <w:bCs/>
        </w:rPr>
        <w:t xml:space="preserve"> </w:t>
      </w:r>
    </w:p>
    <w:p w:rsidR="000977E6" w:rsidRDefault="004409CA" w:rsidP="003173B5">
      <w:pPr>
        <w:rPr>
          <w:rFonts w:eastAsia="Calibri"/>
          <w:bCs/>
        </w:rPr>
      </w:pPr>
      <w:r w:rsidRPr="0007767F">
        <w:rPr>
          <w:rFonts w:eastAsia="Calibri"/>
          <w:bCs/>
        </w:rPr>
        <w:t xml:space="preserve">Ultimately, </w:t>
      </w:r>
      <w:r w:rsidR="006425F2">
        <w:rPr>
          <w:rFonts w:eastAsia="Calibri"/>
          <w:bCs/>
        </w:rPr>
        <w:t>strengthening</w:t>
      </w:r>
      <w:r w:rsidR="00290F0B">
        <w:rPr>
          <w:rFonts w:eastAsia="Calibri"/>
          <w:bCs/>
        </w:rPr>
        <w:t xml:space="preserve"> monitoring </w:t>
      </w:r>
      <w:r w:rsidR="006425F2">
        <w:rPr>
          <w:rFonts w:eastAsia="Calibri"/>
          <w:bCs/>
        </w:rPr>
        <w:t xml:space="preserve">systems </w:t>
      </w:r>
      <w:r w:rsidR="00046B92">
        <w:rPr>
          <w:rFonts w:eastAsia="Calibri"/>
          <w:bCs/>
        </w:rPr>
        <w:t xml:space="preserve">through developing and availing the templates described above </w:t>
      </w:r>
      <w:r w:rsidRPr="0007767F">
        <w:rPr>
          <w:rFonts w:eastAsia="Calibri"/>
          <w:bCs/>
        </w:rPr>
        <w:t xml:space="preserve">is not </w:t>
      </w:r>
      <w:r w:rsidR="00290F0B">
        <w:rPr>
          <w:rFonts w:eastAsia="Calibri"/>
          <w:bCs/>
        </w:rPr>
        <w:t xml:space="preserve">aimed at </w:t>
      </w:r>
      <w:r w:rsidRPr="0007767F">
        <w:rPr>
          <w:rFonts w:eastAsia="Calibri"/>
          <w:bCs/>
        </w:rPr>
        <w:t>reporting for reporting</w:t>
      </w:r>
      <w:r w:rsidR="00046B92">
        <w:rPr>
          <w:rFonts w:eastAsia="Calibri"/>
          <w:bCs/>
        </w:rPr>
        <w:t>’s</w:t>
      </w:r>
      <w:r w:rsidRPr="0007767F">
        <w:rPr>
          <w:rFonts w:eastAsia="Calibri"/>
          <w:bCs/>
        </w:rPr>
        <w:t xml:space="preserve"> sake</w:t>
      </w:r>
      <w:r w:rsidR="00046B92">
        <w:rPr>
          <w:rFonts w:eastAsia="Calibri"/>
          <w:bCs/>
        </w:rPr>
        <w:t xml:space="preserve">. It is </w:t>
      </w:r>
      <w:r w:rsidRPr="0007767F">
        <w:rPr>
          <w:rFonts w:eastAsia="Calibri"/>
          <w:bCs/>
        </w:rPr>
        <w:t>to generate information and momentum for improvements at national level</w:t>
      </w:r>
      <w:r w:rsidR="00046B92">
        <w:rPr>
          <w:rFonts w:eastAsia="Calibri"/>
          <w:bCs/>
        </w:rPr>
        <w:t>, so as to enhance</w:t>
      </w:r>
      <w:r w:rsidRPr="0007767F">
        <w:rPr>
          <w:rFonts w:eastAsia="Calibri"/>
          <w:bCs/>
        </w:rPr>
        <w:t xml:space="preserve"> public access to information and fundamental freedoms</w:t>
      </w:r>
      <w:r w:rsidR="00046B92">
        <w:rPr>
          <w:rFonts w:eastAsia="Calibri"/>
          <w:bCs/>
        </w:rPr>
        <w:t xml:space="preserve"> and thereby </w:t>
      </w:r>
      <w:r w:rsidRPr="0007767F">
        <w:rPr>
          <w:rFonts w:eastAsia="Calibri"/>
          <w:bCs/>
        </w:rPr>
        <w:t>advance the SDGs as a whole.</w:t>
      </w:r>
      <w:r>
        <w:rPr>
          <w:rFonts w:eastAsia="Calibri"/>
          <w:bCs/>
        </w:rPr>
        <w:t xml:space="preserve"> </w:t>
      </w:r>
    </w:p>
    <w:p w:rsidR="00A174FE" w:rsidRDefault="00AA29DE" w:rsidP="003173B5">
      <w:pPr>
        <w:rPr>
          <w:b/>
          <w:bCs/>
          <w:lang w:val="en-US"/>
        </w:rPr>
      </w:pPr>
      <w:r>
        <w:rPr>
          <w:b/>
          <w:bCs/>
          <w:lang w:val="en-US"/>
        </w:rPr>
        <w:t xml:space="preserve">POSSIBLE </w:t>
      </w:r>
      <w:r w:rsidR="006A2E0E">
        <w:rPr>
          <w:b/>
          <w:bCs/>
          <w:lang w:val="en-US"/>
        </w:rPr>
        <w:t xml:space="preserve">QUESTIONS </w:t>
      </w:r>
      <w:r>
        <w:rPr>
          <w:b/>
          <w:bCs/>
          <w:lang w:val="en-US"/>
        </w:rPr>
        <w:t>TO</w:t>
      </w:r>
      <w:r w:rsidR="006A2E0E">
        <w:rPr>
          <w:b/>
          <w:bCs/>
          <w:lang w:val="en-US"/>
        </w:rPr>
        <w:t xml:space="preserve"> GUIDE </w:t>
      </w:r>
      <w:r w:rsidR="00E14F1D">
        <w:rPr>
          <w:b/>
          <w:bCs/>
          <w:lang w:val="en-US"/>
        </w:rPr>
        <w:t xml:space="preserve">THE </w:t>
      </w:r>
      <w:r w:rsidR="006A2E0E">
        <w:rPr>
          <w:b/>
          <w:bCs/>
          <w:lang w:val="en-US"/>
        </w:rPr>
        <w:t>DISCUSSION</w:t>
      </w:r>
    </w:p>
    <w:p w:rsidR="00211F7F" w:rsidRDefault="00211F7F" w:rsidP="003173B5">
      <w:pPr>
        <w:pStyle w:val="ListParagraph"/>
        <w:numPr>
          <w:ilvl w:val="0"/>
          <w:numId w:val="15"/>
        </w:numPr>
        <w:rPr>
          <w:bCs/>
          <w:lang w:val="en-US"/>
        </w:rPr>
      </w:pPr>
      <w:r>
        <w:rPr>
          <w:bCs/>
          <w:lang w:val="en-US"/>
        </w:rPr>
        <w:t xml:space="preserve">What priorities are omitted (or non-priorities included) that lend themselves </w:t>
      </w:r>
      <w:r w:rsidR="002048B5">
        <w:rPr>
          <w:bCs/>
          <w:lang w:val="en-US"/>
        </w:rPr>
        <w:t>to assessing</w:t>
      </w:r>
      <w:r>
        <w:rPr>
          <w:bCs/>
          <w:lang w:val="en-US"/>
        </w:rPr>
        <w:t xml:space="preserve"> significant changes (globall</w:t>
      </w:r>
      <w:r w:rsidR="002048B5">
        <w:rPr>
          <w:bCs/>
          <w:lang w:val="en-US"/>
        </w:rPr>
        <w:t xml:space="preserve">y) on a yearly basis at least, </w:t>
      </w:r>
      <w:r>
        <w:rPr>
          <w:bCs/>
          <w:lang w:val="en-US"/>
        </w:rPr>
        <w:t>in the “lite” template? What formulations in could be improved, with an eye to clarity, actual collection of data, and the possibility of aggregation?</w:t>
      </w:r>
    </w:p>
    <w:p w:rsidR="00211F7F" w:rsidRPr="00CB77E3" w:rsidRDefault="00211F7F" w:rsidP="003173B5">
      <w:pPr>
        <w:pStyle w:val="ListParagraph"/>
        <w:numPr>
          <w:ilvl w:val="0"/>
          <w:numId w:val="15"/>
        </w:numPr>
        <w:rPr>
          <w:bCs/>
          <w:lang w:val="en-US"/>
        </w:rPr>
      </w:pPr>
      <w:r w:rsidRPr="00CB77E3">
        <w:rPr>
          <w:bCs/>
          <w:lang w:val="en-US"/>
        </w:rPr>
        <w:t xml:space="preserve">What priorities are omitted (or non-priorities included) that lend themselves </w:t>
      </w:r>
      <w:r w:rsidR="002048B5" w:rsidRPr="00CB77E3">
        <w:rPr>
          <w:bCs/>
          <w:lang w:val="en-US"/>
        </w:rPr>
        <w:t>to assessing</w:t>
      </w:r>
      <w:r w:rsidRPr="00CB77E3">
        <w:rPr>
          <w:bCs/>
          <w:lang w:val="en-US"/>
        </w:rPr>
        <w:t xml:space="preserve"> significant changes (globally) </w:t>
      </w:r>
      <w:r>
        <w:rPr>
          <w:bCs/>
          <w:lang w:val="en-US"/>
        </w:rPr>
        <w:t xml:space="preserve">in a given single country, </w:t>
      </w:r>
      <w:r w:rsidRPr="00CB77E3">
        <w:rPr>
          <w:bCs/>
          <w:lang w:val="en-US"/>
        </w:rPr>
        <w:t xml:space="preserve">on a </w:t>
      </w:r>
      <w:r>
        <w:rPr>
          <w:bCs/>
          <w:lang w:val="en-US"/>
        </w:rPr>
        <w:t xml:space="preserve">tri-annual basis </w:t>
      </w:r>
      <w:r w:rsidR="002048B5">
        <w:rPr>
          <w:bCs/>
          <w:lang w:val="en-US"/>
        </w:rPr>
        <w:t xml:space="preserve">at least, </w:t>
      </w:r>
      <w:r>
        <w:rPr>
          <w:bCs/>
          <w:lang w:val="en-US"/>
        </w:rPr>
        <w:t>in the “elaborated</w:t>
      </w:r>
      <w:r w:rsidRPr="00CB77E3">
        <w:rPr>
          <w:bCs/>
          <w:lang w:val="en-US"/>
        </w:rPr>
        <w:t xml:space="preserve">” template? What formulations in could be improved, with an eye to clarity, </w:t>
      </w:r>
      <w:r>
        <w:rPr>
          <w:bCs/>
          <w:lang w:val="en-US"/>
        </w:rPr>
        <w:t>realistic prospects for the</w:t>
      </w:r>
      <w:r w:rsidRPr="00CB77E3">
        <w:rPr>
          <w:bCs/>
          <w:lang w:val="en-US"/>
        </w:rPr>
        <w:t xml:space="preserve"> collection of data, </w:t>
      </w:r>
      <w:r>
        <w:rPr>
          <w:bCs/>
          <w:lang w:val="en-US"/>
        </w:rPr>
        <w:t>costs and time of research?</w:t>
      </w:r>
    </w:p>
    <w:p w:rsidR="00C72C5F" w:rsidRPr="007477D1" w:rsidRDefault="00C72C5F" w:rsidP="003173B5">
      <w:pPr>
        <w:pStyle w:val="ListParagraph"/>
        <w:numPr>
          <w:ilvl w:val="0"/>
          <w:numId w:val="15"/>
        </w:numPr>
        <w:rPr>
          <w:bCs/>
          <w:lang w:val="en-US"/>
        </w:rPr>
      </w:pPr>
      <w:r w:rsidRPr="007477D1">
        <w:rPr>
          <w:bCs/>
          <w:lang w:val="en-US"/>
        </w:rPr>
        <w:t xml:space="preserve">How </w:t>
      </w:r>
      <w:r w:rsidR="00934D61" w:rsidRPr="007477D1">
        <w:rPr>
          <w:bCs/>
          <w:lang w:val="en-US"/>
        </w:rPr>
        <w:t xml:space="preserve">might </w:t>
      </w:r>
      <w:r w:rsidRPr="007477D1">
        <w:rPr>
          <w:bCs/>
          <w:lang w:val="en-US"/>
        </w:rPr>
        <w:t xml:space="preserve">existing </w:t>
      </w:r>
      <w:r w:rsidR="001658D9">
        <w:rPr>
          <w:bCs/>
          <w:lang w:val="en-US"/>
        </w:rPr>
        <w:t xml:space="preserve">– and </w:t>
      </w:r>
      <w:r w:rsidR="005F2121">
        <w:rPr>
          <w:bCs/>
          <w:lang w:val="en-US"/>
        </w:rPr>
        <w:t xml:space="preserve">future </w:t>
      </w:r>
      <w:r w:rsidR="001658D9">
        <w:rPr>
          <w:bCs/>
          <w:lang w:val="en-US"/>
        </w:rPr>
        <w:t xml:space="preserve">– data </w:t>
      </w:r>
      <w:r w:rsidRPr="007477D1">
        <w:rPr>
          <w:bCs/>
          <w:lang w:val="en-US"/>
        </w:rPr>
        <w:t xml:space="preserve">collection initiatives </w:t>
      </w:r>
      <w:r w:rsidR="001658D9">
        <w:rPr>
          <w:bCs/>
          <w:lang w:val="en-US"/>
        </w:rPr>
        <w:t>synergise with</w:t>
      </w:r>
      <w:r w:rsidR="001658D9" w:rsidRPr="007477D1">
        <w:rPr>
          <w:bCs/>
          <w:lang w:val="en-US"/>
        </w:rPr>
        <w:t xml:space="preserve"> </w:t>
      </w:r>
      <w:r w:rsidRPr="007477D1">
        <w:rPr>
          <w:bCs/>
          <w:lang w:val="en-US"/>
        </w:rPr>
        <w:t xml:space="preserve">UNESCO/IPDC’s </w:t>
      </w:r>
      <w:r w:rsidR="001658D9">
        <w:rPr>
          <w:bCs/>
          <w:lang w:val="en-US"/>
        </w:rPr>
        <w:t xml:space="preserve">proposed </w:t>
      </w:r>
      <w:r w:rsidRPr="007477D1">
        <w:rPr>
          <w:bCs/>
          <w:lang w:val="en-US"/>
        </w:rPr>
        <w:t>mechanism</w:t>
      </w:r>
      <w:r w:rsidR="001658D9">
        <w:rPr>
          <w:bCs/>
          <w:lang w:val="en-US"/>
        </w:rPr>
        <w:t>s</w:t>
      </w:r>
      <w:r w:rsidRPr="00C72C5F">
        <w:t xml:space="preserve"> </w:t>
      </w:r>
      <w:r w:rsidRPr="007477D1">
        <w:rPr>
          <w:bCs/>
          <w:lang w:val="en-US"/>
        </w:rPr>
        <w:t xml:space="preserve">to monitor and report on SDG indicator 16.10.2? </w:t>
      </w:r>
    </w:p>
    <w:p w:rsidR="00C72C5F" w:rsidRPr="00C72C5F" w:rsidRDefault="00C72C5F" w:rsidP="003173B5">
      <w:pPr>
        <w:pStyle w:val="ListParagraph"/>
        <w:numPr>
          <w:ilvl w:val="0"/>
          <w:numId w:val="15"/>
        </w:numPr>
        <w:rPr>
          <w:bCs/>
          <w:lang w:val="en-US"/>
        </w:rPr>
      </w:pPr>
      <w:r w:rsidRPr="00C72C5F">
        <w:rPr>
          <w:bCs/>
          <w:lang w:val="en-US"/>
        </w:rPr>
        <w:t xml:space="preserve">What country-specific </w:t>
      </w:r>
      <w:r w:rsidR="00812355">
        <w:rPr>
          <w:bCs/>
          <w:lang w:val="en-US"/>
        </w:rPr>
        <w:t>challenges and opportunities</w:t>
      </w:r>
      <w:r w:rsidR="00812355" w:rsidRPr="00C72C5F">
        <w:rPr>
          <w:bCs/>
          <w:lang w:val="en-US"/>
        </w:rPr>
        <w:t xml:space="preserve"> </w:t>
      </w:r>
      <w:r w:rsidRPr="00C72C5F">
        <w:rPr>
          <w:bCs/>
          <w:lang w:val="en-US"/>
        </w:rPr>
        <w:t>need to be taken into account when developing</w:t>
      </w:r>
      <w:r>
        <w:rPr>
          <w:bCs/>
          <w:lang w:val="en-US"/>
        </w:rPr>
        <w:t xml:space="preserve"> </w:t>
      </w:r>
      <w:r w:rsidRPr="00C72C5F">
        <w:rPr>
          <w:bCs/>
          <w:lang w:val="en-US"/>
        </w:rPr>
        <w:t>mechanisms</w:t>
      </w:r>
      <w:r w:rsidR="000977E6">
        <w:rPr>
          <w:bCs/>
          <w:lang w:val="en-US"/>
        </w:rPr>
        <w:t xml:space="preserve"> for national reporting</w:t>
      </w:r>
      <w:r w:rsidRPr="00C72C5F">
        <w:rPr>
          <w:bCs/>
          <w:lang w:val="en-US"/>
        </w:rPr>
        <w:t>?</w:t>
      </w:r>
      <w:r w:rsidR="001658D9">
        <w:rPr>
          <w:bCs/>
          <w:lang w:val="en-US"/>
        </w:rPr>
        <w:t xml:space="preserve"> What could be done in relation to the 2019 UNGA High Level Political Forum which will take a number of country reports on SDG 16 (amongst others)?</w:t>
      </w:r>
      <w:r w:rsidR="00AA2B32">
        <w:rPr>
          <w:rStyle w:val="FootnoteReference"/>
          <w:bCs/>
          <w:lang w:val="en-US"/>
        </w:rPr>
        <w:footnoteReference w:id="15"/>
      </w:r>
    </w:p>
    <w:p w:rsidR="00211F7F" w:rsidRDefault="00211F7F" w:rsidP="003173B5">
      <w:pPr>
        <w:pStyle w:val="ListParagraph"/>
        <w:numPr>
          <w:ilvl w:val="0"/>
          <w:numId w:val="15"/>
        </w:numPr>
        <w:rPr>
          <w:bCs/>
          <w:lang w:val="en-US"/>
        </w:rPr>
      </w:pPr>
      <w:r>
        <w:rPr>
          <w:bCs/>
          <w:lang w:val="en-US"/>
        </w:rPr>
        <w:t xml:space="preserve">What state institutions could play leading parts? What would the role be of civil society and media in regard to a mechanism? </w:t>
      </w:r>
    </w:p>
    <w:p w:rsidR="00872057" w:rsidRDefault="00937D1D" w:rsidP="003173B5">
      <w:pPr>
        <w:pStyle w:val="ListParagraph"/>
        <w:numPr>
          <w:ilvl w:val="0"/>
          <w:numId w:val="15"/>
        </w:numPr>
        <w:rPr>
          <w:bCs/>
          <w:lang w:val="en-US"/>
        </w:rPr>
      </w:pPr>
      <w:r>
        <w:rPr>
          <w:bCs/>
          <w:lang w:val="en-US"/>
        </w:rPr>
        <w:t>Integrated perspective - a</w:t>
      </w:r>
      <w:r w:rsidR="00211F7F">
        <w:rPr>
          <w:bCs/>
          <w:lang w:val="en-US"/>
        </w:rPr>
        <w:t>lthough this is a secondary dimension of the core monitoring scope, a question is</w:t>
      </w:r>
      <w:r>
        <w:rPr>
          <w:bCs/>
          <w:lang w:val="en-US"/>
        </w:rPr>
        <w:t xml:space="preserve">: </w:t>
      </w:r>
      <w:r w:rsidR="00211F7F">
        <w:rPr>
          <w:bCs/>
          <w:lang w:val="en-US"/>
        </w:rPr>
        <w:t xml:space="preserve"> how </w:t>
      </w:r>
      <w:r>
        <w:rPr>
          <w:bCs/>
          <w:lang w:val="en-US"/>
        </w:rPr>
        <w:t xml:space="preserve">can </w:t>
      </w:r>
      <w:r w:rsidR="00AA29DE">
        <w:rPr>
          <w:bCs/>
          <w:lang w:val="en-US"/>
        </w:rPr>
        <w:t>data</w:t>
      </w:r>
      <w:r w:rsidR="005A1E1E" w:rsidRPr="005A1E1E">
        <w:rPr>
          <w:bCs/>
          <w:lang w:val="en-US"/>
        </w:rPr>
        <w:t xml:space="preserve"> related to 16.10.2 </w:t>
      </w:r>
      <w:r>
        <w:rPr>
          <w:bCs/>
          <w:lang w:val="en-US"/>
        </w:rPr>
        <w:t xml:space="preserve">connect </w:t>
      </w:r>
      <w:r w:rsidR="005A1E1E" w:rsidRPr="005A1E1E">
        <w:rPr>
          <w:bCs/>
          <w:lang w:val="en-US"/>
        </w:rPr>
        <w:t>with the other targets under SDG</w:t>
      </w:r>
      <w:r>
        <w:rPr>
          <w:bCs/>
          <w:lang w:val="en-US"/>
        </w:rPr>
        <w:t xml:space="preserve"> </w:t>
      </w:r>
      <w:r w:rsidR="005A1E1E" w:rsidRPr="005A1E1E">
        <w:rPr>
          <w:bCs/>
          <w:lang w:val="en-US"/>
        </w:rPr>
        <w:t>16 (rule of law, participation, transparency, accountability, freedom of exp</w:t>
      </w:r>
      <w:r w:rsidR="005A1E1E">
        <w:rPr>
          <w:bCs/>
          <w:lang w:val="en-US"/>
        </w:rPr>
        <w:t>ression, safety of journa</w:t>
      </w:r>
      <w:r w:rsidR="0048270B">
        <w:rPr>
          <w:bCs/>
          <w:lang w:val="en-US"/>
        </w:rPr>
        <w:t xml:space="preserve">lists) and </w:t>
      </w:r>
      <w:r w:rsidR="004345AB">
        <w:rPr>
          <w:bCs/>
          <w:lang w:val="en-US"/>
        </w:rPr>
        <w:t xml:space="preserve">with </w:t>
      </w:r>
      <w:r w:rsidR="0048270B">
        <w:rPr>
          <w:bCs/>
          <w:lang w:val="en-US"/>
        </w:rPr>
        <w:t>other SDG indicators</w:t>
      </w:r>
      <w:r>
        <w:rPr>
          <w:bCs/>
          <w:lang w:val="en-US"/>
        </w:rPr>
        <w:t>?</w:t>
      </w:r>
      <w:r w:rsidR="00211F7F">
        <w:rPr>
          <w:bCs/>
          <w:lang w:val="en-US"/>
        </w:rPr>
        <w:t xml:space="preserve"> </w:t>
      </w:r>
    </w:p>
    <w:p w:rsidR="009962D9" w:rsidRDefault="009962D9" w:rsidP="003173B5">
      <w:pPr>
        <w:pStyle w:val="ListParagraph"/>
        <w:numPr>
          <w:ilvl w:val="0"/>
          <w:numId w:val="15"/>
        </w:numPr>
        <w:rPr>
          <w:bCs/>
          <w:lang w:val="en-US"/>
        </w:rPr>
      </w:pPr>
      <w:r>
        <w:rPr>
          <w:bCs/>
          <w:lang w:val="en-US"/>
        </w:rPr>
        <w:t>How might media actors be actively involved in the monitoring and use of data</w:t>
      </w:r>
      <w:r w:rsidR="004345AB">
        <w:rPr>
          <w:bCs/>
          <w:lang w:val="en-US"/>
        </w:rPr>
        <w:t xml:space="preserve"> and reports</w:t>
      </w:r>
      <w:r>
        <w:rPr>
          <w:bCs/>
          <w:lang w:val="en-US"/>
        </w:rPr>
        <w:t xml:space="preserve">? </w:t>
      </w:r>
    </w:p>
    <w:p w:rsidR="003F4761" w:rsidRPr="007477D1" w:rsidRDefault="003F4761" w:rsidP="003173B5">
      <w:pPr>
        <w:pStyle w:val="ListParagraph"/>
        <w:numPr>
          <w:ilvl w:val="0"/>
          <w:numId w:val="15"/>
        </w:numPr>
        <w:rPr>
          <w:bCs/>
          <w:lang w:val="en-US"/>
        </w:rPr>
      </w:pPr>
      <w:r>
        <w:rPr>
          <w:bCs/>
          <w:lang w:val="en-US"/>
        </w:rPr>
        <w:t>W</w:t>
      </w:r>
      <w:r w:rsidR="0033510A">
        <w:rPr>
          <w:bCs/>
          <w:lang w:val="en-US"/>
        </w:rPr>
        <w:t>hat upcoming events, activities or</w:t>
      </w:r>
      <w:r>
        <w:rPr>
          <w:bCs/>
          <w:lang w:val="en-US"/>
        </w:rPr>
        <w:t xml:space="preserve"> strategies </w:t>
      </w:r>
      <w:r w:rsidR="004345AB">
        <w:rPr>
          <w:bCs/>
          <w:lang w:val="en-US"/>
        </w:rPr>
        <w:t xml:space="preserve">might </w:t>
      </w:r>
      <w:r>
        <w:rPr>
          <w:bCs/>
          <w:lang w:val="en-US"/>
        </w:rPr>
        <w:t>provide for optimum use of data that is generated in relation to 16.10.2?</w:t>
      </w:r>
      <w:r w:rsidR="0033510A">
        <w:rPr>
          <w:bCs/>
          <w:lang w:val="en-US"/>
        </w:rPr>
        <w:t xml:space="preserve"> What partnerships are possible in this regard?</w:t>
      </w:r>
    </w:p>
    <w:p w:rsidR="005F2121" w:rsidRDefault="005F2121" w:rsidP="003173B5">
      <w:pPr>
        <w:rPr>
          <w:rFonts w:eastAsia="SimSun" w:cs="Times New Roman"/>
          <w:b/>
          <w:bCs/>
          <w:color w:val="FF0000"/>
          <w:highlight w:val="yellow"/>
          <w:lang w:val="en-US" w:eastAsia="zh-CN"/>
        </w:rPr>
      </w:pPr>
      <w:r>
        <w:rPr>
          <w:rFonts w:eastAsia="SimSun" w:cs="Times New Roman"/>
          <w:b/>
          <w:bCs/>
          <w:color w:val="FF0000"/>
          <w:highlight w:val="yellow"/>
          <w:lang w:val="en-US" w:eastAsia="zh-CN"/>
        </w:rPr>
        <w:br w:type="page"/>
      </w:r>
    </w:p>
    <w:p w:rsidR="001375AB" w:rsidRDefault="001375AB" w:rsidP="001375AB">
      <w:pPr>
        <w:contextualSpacing/>
        <w:rPr>
          <w:rFonts w:eastAsia="SimSun" w:cs="Times New Roman"/>
          <w:b/>
          <w:bCs/>
          <w:i/>
          <w:lang w:val="en-US" w:eastAsia="zh-CN"/>
        </w:rPr>
      </w:pPr>
      <w:r w:rsidRPr="007B046A">
        <w:rPr>
          <w:rFonts w:eastAsia="SimSun" w:cs="Times New Roman"/>
          <w:b/>
          <w:bCs/>
          <w:lang w:val="en-US" w:eastAsia="zh-CN"/>
        </w:rPr>
        <w:lastRenderedPageBreak/>
        <w:t xml:space="preserve">ANNEX 1: PROPOSED AGENDA </w:t>
      </w:r>
      <w:r w:rsidRPr="007B046A">
        <w:rPr>
          <w:rFonts w:eastAsia="SimSun" w:cs="Times New Roman"/>
          <w:b/>
          <w:bCs/>
          <w:i/>
          <w:lang w:val="en-US" w:eastAsia="zh-CN"/>
        </w:rPr>
        <w:t>(</w:t>
      </w:r>
      <w:r w:rsidRPr="007B046A">
        <w:rPr>
          <w:rFonts w:eastAsia="SimSun" w:cs="Times New Roman"/>
          <w:b/>
          <w:bCs/>
          <w:i/>
          <w:color w:val="FF0000"/>
          <w:lang w:val="en-US" w:eastAsia="zh-CN"/>
        </w:rPr>
        <w:t>all names to be confirmed</w:t>
      </w:r>
      <w:r w:rsidRPr="007B046A">
        <w:rPr>
          <w:rFonts w:eastAsia="SimSun" w:cs="Times New Roman"/>
          <w:b/>
          <w:bCs/>
          <w:i/>
          <w:lang w:val="en-US" w:eastAsia="zh-CN"/>
        </w:rPr>
        <w:t>)</w:t>
      </w:r>
    </w:p>
    <w:p w:rsidR="001375AB" w:rsidRPr="00E3584F" w:rsidRDefault="001375AB" w:rsidP="001375AB">
      <w:pPr>
        <w:contextualSpacing/>
        <w:rPr>
          <w:rFonts w:eastAsia="SimSun" w:cs="Times New Roman"/>
          <w:b/>
          <w:bCs/>
          <w:lang w:val="en-US" w:eastAsia="zh-CN"/>
        </w:rPr>
      </w:pPr>
      <w:bookmarkStart w:id="0" w:name="_GoBack"/>
      <w:bookmarkEnd w:id="0"/>
    </w:p>
    <w:p w:rsidR="00A27AFA" w:rsidRDefault="00A27AFA" w:rsidP="003173B5">
      <w:pPr>
        <w:contextualSpacing/>
        <w:rPr>
          <w:rFonts w:eastAsia="SimSun" w:cs="Times New Roman"/>
          <w:b/>
          <w:bCs/>
          <w:lang w:val="fr-FR" w:eastAsia="zh-CN"/>
        </w:rPr>
      </w:pPr>
      <w:r>
        <w:rPr>
          <w:rFonts w:eastAsia="SimSun" w:cs="Times New Roman"/>
          <w:b/>
          <w:bCs/>
          <w:lang w:val="fr-FR" w:eastAsia="zh-CN"/>
        </w:rPr>
        <w:t xml:space="preserve">Venue : </w:t>
      </w:r>
      <w:r w:rsidRPr="00A27AFA">
        <w:rPr>
          <w:rFonts w:eastAsia="SimSun" w:cs="Times New Roman"/>
          <w:b/>
          <w:bCs/>
          <w:lang w:val="fr-FR" w:eastAsia="zh-CN"/>
        </w:rPr>
        <w:t xml:space="preserve">UNESCO (Salle </w:t>
      </w:r>
      <w:r>
        <w:rPr>
          <w:rFonts w:eastAsia="SimSun" w:cs="Times New Roman"/>
          <w:b/>
          <w:bCs/>
          <w:lang w:val="fr-FR" w:eastAsia="zh-CN"/>
        </w:rPr>
        <w:t xml:space="preserve">VII, Level -1), </w:t>
      </w:r>
      <w:r w:rsidRPr="00A27AFA">
        <w:rPr>
          <w:rFonts w:eastAsia="SimSun" w:cs="Times New Roman"/>
          <w:b/>
          <w:bCs/>
          <w:lang w:val="fr-FR" w:eastAsia="zh-CN"/>
        </w:rPr>
        <w:t>7 Place de Fontenoy, 75007 Paris</w:t>
      </w:r>
    </w:p>
    <w:p w:rsidR="007F0A98" w:rsidRPr="0012104D" w:rsidRDefault="007F0A98" w:rsidP="003173B5">
      <w:pPr>
        <w:pBdr>
          <w:top w:val="nil"/>
          <w:left w:val="nil"/>
          <w:bottom w:val="nil"/>
          <w:right w:val="nil"/>
          <w:between w:val="nil"/>
          <w:bar w:val="nil"/>
        </w:pBdr>
        <w:spacing w:after="0" w:line="240" w:lineRule="auto"/>
        <w:contextualSpacing/>
        <w:rPr>
          <w:rFonts w:eastAsia="SimSun" w:cs="Times New Roman"/>
          <w:b/>
          <w:bCs/>
          <w:lang w:val="fr-FR" w:eastAsia="zh-CN"/>
        </w:rPr>
      </w:pPr>
    </w:p>
    <w:tbl>
      <w:tblPr>
        <w:tblStyle w:val="TableGrid"/>
        <w:tblW w:w="0" w:type="auto"/>
        <w:tblLook w:val="04A0" w:firstRow="1" w:lastRow="0" w:firstColumn="1" w:lastColumn="0" w:noHBand="0" w:noVBand="1"/>
      </w:tblPr>
      <w:tblGrid>
        <w:gridCol w:w="1842"/>
        <w:gridCol w:w="7220"/>
      </w:tblGrid>
      <w:tr w:rsidR="001E3CEC" w:rsidRPr="007477D1" w:rsidTr="001B358E">
        <w:tc>
          <w:tcPr>
            <w:tcW w:w="1842" w:type="dxa"/>
          </w:tcPr>
          <w:p w:rsidR="001E3CEC" w:rsidRPr="007477D1" w:rsidRDefault="001E3CEC" w:rsidP="003173B5">
            <w:pPr>
              <w:rPr>
                <w:rFonts w:asciiTheme="minorHAnsi" w:hAnsiTheme="minorHAnsi"/>
                <w:szCs w:val="22"/>
              </w:rPr>
            </w:pPr>
            <w:r w:rsidRPr="007477D1">
              <w:rPr>
                <w:rFonts w:asciiTheme="minorHAnsi" w:hAnsiTheme="minorHAnsi"/>
                <w:szCs w:val="22"/>
              </w:rPr>
              <w:t>09:30 – 09:40</w:t>
            </w:r>
          </w:p>
        </w:tc>
        <w:tc>
          <w:tcPr>
            <w:tcW w:w="7220" w:type="dxa"/>
          </w:tcPr>
          <w:p w:rsidR="001E3CEC" w:rsidRPr="007477D1" w:rsidRDefault="001E3CEC" w:rsidP="003173B5">
            <w:pPr>
              <w:rPr>
                <w:rFonts w:asciiTheme="minorHAnsi" w:hAnsiTheme="minorHAnsi"/>
                <w:szCs w:val="22"/>
              </w:rPr>
            </w:pPr>
            <w:r w:rsidRPr="007477D1">
              <w:rPr>
                <w:rFonts w:asciiTheme="minorHAnsi" w:hAnsiTheme="minorHAnsi"/>
                <w:b/>
                <w:szCs w:val="22"/>
              </w:rPr>
              <w:t>Welcome remarks – UNESCO ADG/CI Moez Chakchouk</w:t>
            </w:r>
          </w:p>
        </w:tc>
      </w:tr>
      <w:tr w:rsidR="001E3CEC" w:rsidRPr="007477D1" w:rsidTr="001B358E">
        <w:tc>
          <w:tcPr>
            <w:tcW w:w="1842" w:type="dxa"/>
          </w:tcPr>
          <w:p w:rsidR="001E3CEC" w:rsidRPr="007477D1" w:rsidRDefault="001E3CEC" w:rsidP="003173B5">
            <w:pPr>
              <w:rPr>
                <w:rFonts w:asciiTheme="minorHAnsi" w:hAnsiTheme="minorHAnsi"/>
                <w:szCs w:val="22"/>
              </w:rPr>
            </w:pPr>
            <w:r w:rsidRPr="007477D1">
              <w:rPr>
                <w:rFonts w:asciiTheme="minorHAnsi" w:hAnsiTheme="minorHAnsi"/>
                <w:szCs w:val="22"/>
              </w:rPr>
              <w:t xml:space="preserve">09:40 – </w:t>
            </w:r>
            <w:r w:rsidR="00AA5FF0" w:rsidRPr="007477D1">
              <w:rPr>
                <w:rFonts w:asciiTheme="minorHAnsi" w:hAnsiTheme="minorHAnsi"/>
                <w:szCs w:val="22"/>
              </w:rPr>
              <w:t>09</w:t>
            </w:r>
            <w:r w:rsidRPr="007477D1">
              <w:rPr>
                <w:rFonts w:asciiTheme="minorHAnsi" w:hAnsiTheme="minorHAnsi"/>
                <w:szCs w:val="22"/>
              </w:rPr>
              <w:t>:</w:t>
            </w:r>
            <w:r w:rsidR="00AA5FF0" w:rsidRPr="007477D1">
              <w:rPr>
                <w:rFonts w:asciiTheme="minorHAnsi" w:hAnsiTheme="minorHAnsi"/>
                <w:szCs w:val="22"/>
              </w:rPr>
              <w:t>5</w:t>
            </w:r>
            <w:r w:rsidRPr="007477D1">
              <w:rPr>
                <w:rFonts w:asciiTheme="minorHAnsi" w:hAnsiTheme="minorHAnsi"/>
                <w:szCs w:val="22"/>
              </w:rPr>
              <w:t>0</w:t>
            </w:r>
          </w:p>
        </w:tc>
        <w:tc>
          <w:tcPr>
            <w:tcW w:w="7220" w:type="dxa"/>
          </w:tcPr>
          <w:p w:rsidR="001E3CEC" w:rsidRPr="007477D1" w:rsidRDefault="00AA5FF0" w:rsidP="003173B5">
            <w:pPr>
              <w:pStyle w:val="ListParagraph"/>
              <w:rPr>
                <w:rFonts w:asciiTheme="minorHAnsi" w:hAnsiTheme="minorHAnsi"/>
                <w:szCs w:val="22"/>
              </w:rPr>
            </w:pPr>
            <w:r w:rsidRPr="007477D1">
              <w:rPr>
                <w:rFonts w:asciiTheme="minorHAnsi" w:hAnsiTheme="minorHAnsi"/>
                <w:b/>
                <w:szCs w:val="22"/>
              </w:rPr>
              <w:t>Introductions by participants</w:t>
            </w:r>
          </w:p>
        </w:tc>
      </w:tr>
      <w:tr w:rsidR="00AA5FF0" w:rsidRPr="007477D1" w:rsidTr="001B358E">
        <w:tc>
          <w:tcPr>
            <w:tcW w:w="1842" w:type="dxa"/>
          </w:tcPr>
          <w:p w:rsidR="00AA5FF0" w:rsidRPr="007477D1" w:rsidRDefault="00AA5FF0" w:rsidP="003173B5">
            <w:r w:rsidRPr="007477D1">
              <w:t xml:space="preserve"> </w:t>
            </w:r>
            <w:r w:rsidRPr="007477D1">
              <w:rPr>
                <w:rFonts w:asciiTheme="minorHAnsi" w:hAnsiTheme="minorHAnsi"/>
                <w:szCs w:val="22"/>
              </w:rPr>
              <w:t>09:50 – 10.00</w:t>
            </w:r>
          </w:p>
        </w:tc>
        <w:tc>
          <w:tcPr>
            <w:tcW w:w="7220" w:type="dxa"/>
          </w:tcPr>
          <w:p w:rsidR="00AA5FF0" w:rsidRPr="007477D1" w:rsidRDefault="00AA5FF0" w:rsidP="003173B5">
            <w:pPr>
              <w:pStyle w:val="ListParagraph"/>
              <w:rPr>
                <w:b/>
              </w:rPr>
            </w:pPr>
            <w:r w:rsidRPr="007477D1">
              <w:rPr>
                <w:rFonts w:asciiTheme="minorHAnsi" w:hAnsiTheme="minorHAnsi"/>
                <w:b/>
                <w:szCs w:val="22"/>
              </w:rPr>
              <w:t xml:space="preserve">Introduction, background, aims of the workshop – </w:t>
            </w:r>
            <w:r w:rsidRPr="007477D1">
              <w:rPr>
                <w:rFonts w:asciiTheme="minorHAnsi" w:hAnsiTheme="minorHAnsi"/>
                <w:szCs w:val="22"/>
              </w:rPr>
              <w:t>Dian Kuswandini, UNESCO IPDC</w:t>
            </w:r>
          </w:p>
        </w:tc>
      </w:tr>
      <w:tr w:rsidR="00BD1FA8" w:rsidRPr="007477D1" w:rsidTr="001B358E">
        <w:tc>
          <w:tcPr>
            <w:tcW w:w="1842" w:type="dxa"/>
          </w:tcPr>
          <w:p w:rsidR="00BD1FA8" w:rsidRPr="007477D1" w:rsidRDefault="00BD1FA8" w:rsidP="003173B5">
            <w:pPr>
              <w:rPr>
                <w:rFonts w:asciiTheme="minorHAnsi" w:hAnsiTheme="minorHAnsi"/>
                <w:szCs w:val="22"/>
              </w:rPr>
            </w:pPr>
            <w:r w:rsidRPr="007477D1">
              <w:rPr>
                <w:rFonts w:asciiTheme="minorHAnsi" w:hAnsiTheme="minorHAnsi"/>
                <w:szCs w:val="22"/>
              </w:rPr>
              <w:t>10:00 – 10:</w:t>
            </w:r>
            <w:r w:rsidR="00937D1D">
              <w:rPr>
                <w:rFonts w:asciiTheme="minorHAnsi" w:hAnsiTheme="minorHAnsi"/>
                <w:szCs w:val="22"/>
              </w:rPr>
              <w:t>30</w:t>
            </w:r>
          </w:p>
        </w:tc>
        <w:tc>
          <w:tcPr>
            <w:tcW w:w="7220" w:type="dxa"/>
          </w:tcPr>
          <w:p w:rsidR="00BD1FA8" w:rsidRPr="007477D1" w:rsidRDefault="00BD1FA8" w:rsidP="003173B5">
            <w:pPr>
              <w:rPr>
                <w:rFonts w:asciiTheme="minorHAnsi" w:hAnsiTheme="minorHAnsi"/>
                <w:szCs w:val="22"/>
              </w:rPr>
            </w:pPr>
            <w:r w:rsidRPr="007477D1">
              <w:rPr>
                <w:rFonts w:asciiTheme="minorHAnsi" w:hAnsiTheme="minorHAnsi"/>
                <w:b/>
                <w:szCs w:val="22"/>
                <w:u w:val="single"/>
              </w:rPr>
              <w:t>Session 1: SDG 16</w:t>
            </w:r>
            <w:r w:rsidRPr="007477D1">
              <w:rPr>
                <w:rFonts w:asciiTheme="minorHAnsi" w:hAnsiTheme="minorHAnsi"/>
                <w:b/>
                <w:szCs w:val="22"/>
              </w:rPr>
              <w:t xml:space="preserve"> </w:t>
            </w:r>
          </w:p>
          <w:p w:rsidR="00BD1FA8" w:rsidRPr="007477D1" w:rsidRDefault="00937D1D" w:rsidP="003173B5">
            <w:pPr>
              <w:rPr>
                <w:rFonts w:asciiTheme="minorHAnsi" w:hAnsiTheme="minorHAnsi"/>
                <w:b/>
                <w:szCs w:val="22"/>
              </w:rPr>
            </w:pPr>
            <w:r>
              <w:rPr>
                <w:rFonts w:asciiTheme="minorHAnsi" w:hAnsiTheme="minorHAnsi"/>
                <w:b/>
                <w:szCs w:val="22"/>
              </w:rPr>
              <w:t xml:space="preserve">Monitoring and </w:t>
            </w:r>
            <w:r w:rsidR="00BD1FA8" w:rsidRPr="007477D1">
              <w:rPr>
                <w:rFonts w:asciiTheme="minorHAnsi" w:hAnsiTheme="minorHAnsi"/>
                <w:b/>
                <w:szCs w:val="22"/>
              </w:rPr>
              <w:t>Reporting on SDGs: current situation and future of SDG 16</w:t>
            </w:r>
            <w:r w:rsidR="005A76E4" w:rsidRPr="007477D1">
              <w:rPr>
                <w:rFonts w:asciiTheme="minorHAnsi" w:hAnsiTheme="minorHAnsi"/>
                <w:b/>
                <w:szCs w:val="22"/>
              </w:rPr>
              <w:t>.10.2</w:t>
            </w:r>
            <w:r w:rsidR="00BD1FA8" w:rsidRPr="007477D1">
              <w:rPr>
                <w:rFonts w:asciiTheme="minorHAnsi" w:hAnsiTheme="minorHAnsi"/>
                <w:b/>
                <w:szCs w:val="22"/>
              </w:rPr>
              <w:t xml:space="preserve"> </w:t>
            </w:r>
          </w:p>
          <w:p w:rsidR="00BD1FA8" w:rsidRPr="007477D1" w:rsidRDefault="00BD1FA8" w:rsidP="003173B5">
            <w:pPr>
              <w:rPr>
                <w:rFonts w:asciiTheme="minorHAnsi" w:hAnsiTheme="minorHAnsi"/>
                <w:i/>
                <w:szCs w:val="22"/>
              </w:rPr>
            </w:pPr>
            <w:r w:rsidRPr="007477D1">
              <w:rPr>
                <w:rFonts w:asciiTheme="minorHAnsi" w:hAnsiTheme="minorHAnsi"/>
                <w:szCs w:val="22"/>
              </w:rPr>
              <w:t xml:space="preserve">Moderator: </w:t>
            </w:r>
            <w:r w:rsidR="005A76E4" w:rsidRPr="007477D1">
              <w:rPr>
                <w:rFonts w:asciiTheme="minorHAnsi" w:hAnsiTheme="minorHAnsi"/>
                <w:szCs w:val="22"/>
              </w:rPr>
              <w:t xml:space="preserve">Guy Berger, </w:t>
            </w:r>
            <w:r w:rsidRPr="007477D1">
              <w:rPr>
                <w:rFonts w:asciiTheme="minorHAnsi" w:hAnsiTheme="minorHAnsi"/>
                <w:szCs w:val="22"/>
              </w:rPr>
              <w:t>UNESCO</w:t>
            </w:r>
            <w:r w:rsidR="005A76E4" w:rsidRPr="007477D1">
              <w:rPr>
                <w:rFonts w:asciiTheme="minorHAnsi" w:hAnsiTheme="minorHAnsi"/>
                <w:szCs w:val="22"/>
              </w:rPr>
              <w:t xml:space="preserve"> Director for Freedom of Expression and Media Development, IPDC secretary. </w:t>
            </w:r>
            <w:r w:rsidRPr="007477D1">
              <w:rPr>
                <w:rFonts w:asciiTheme="minorHAnsi" w:hAnsiTheme="minorHAnsi"/>
                <w:i/>
                <w:szCs w:val="22"/>
              </w:rPr>
              <w:t xml:space="preserve"> </w:t>
            </w:r>
          </w:p>
          <w:p w:rsidR="00BD1FA8" w:rsidRPr="007477D1" w:rsidRDefault="00BD1FA8" w:rsidP="003173B5">
            <w:pPr>
              <w:rPr>
                <w:rFonts w:asciiTheme="minorHAnsi" w:hAnsiTheme="minorHAnsi"/>
                <w:szCs w:val="22"/>
              </w:rPr>
            </w:pPr>
            <w:r w:rsidRPr="007477D1">
              <w:rPr>
                <w:rFonts w:asciiTheme="minorHAnsi" w:hAnsiTheme="minorHAnsi"/>
                <w:szCs w:val="22"/>
              </w:rPr>
              <w:t>Presentations by:</w:t>
            </w:r>
          </w:p>
          <w:p w:rsidR="00BD1FA8" w:rsidRPr="007477D1" w:rsidRDefault="00BD1FA8" w:rsidP="003173B5">
            <w:pPr>
              <w:pStyle w:val="xmsonormal"/>
              <w:numPr>
                <w:ilvl w:val="0"/>
                <w:numId w:val="10"/>
              </w:numPr>
              <w:autoSpaceDE w:val="0"/>
              <w:autoSpaceDN w:val="0"/>
              <w:rPr>
                <w:rFonts w:asciiTheme="minorHAnsi" w:hAnsiTheme="minorHAnsi" w:cs="Arial"/>
                <w:sz w:val="20"/>
                <w:szCs w:val="22"/>
                <w:lang w:val="en-GB"/>
              </w:rPr>
            </w:pPr>
            <w:r w:rsidRPr="007477D1">
              <w:rPr>
                <w:rFonts w:asciiTheme="minorHAnsi" w:hAnsiTheme="minorHAnsi" w:cs="Arial"/>
                <w:sz w:val="20"/>
                <w:szCs w:val="22"/>
                <w:lang w:val="en-GB"/>
              </w:rPr>
              <w:t>Yongyi Min, Chief, Sustainable Development Goal Monitoring Unit, Statistics Division, UN Department of Economic and Social Affairs</w:t>
            </w:r>
          </w:p>
          <w:p w:rsidR="00BD1FA8" w:rsidRPr="007477D1" w:rsidRDefault="00BD1FA8" w:rsidP="003173B5">
            <w:pPr>
              <w:pStyle w:val="ListParagraph"/>
              <w:numPr>
                <w:ilvl w:val="0"/>
                <w:numId w:val="10"/>
              </w:numPr>
              <w:rPr>
                <w:rFonts w:asciiTheme="minorHAnsi" w:hAnsiTheme="minorHAnsi"/>
                <w:szCs w:val="22"/>
              </w:rPr>
            </w:pPr>
            <w:r w:rsidRPr="007477D1">
              <w:rPr>
                <w:rFonts w:asciiTheme="minorHAnsi" w:hAnsiTheme="minorHAnsi"/>
                <w:szCs w:val="22"/>
              </w:rPr>
              <w:t>Lucy Turner, Coordinator, Global Alliance for Reporting, UNDP</w:t>
            </w:r>
          </w:p>
          <w:p w:rsidR="00BD1FA8" w:rsidRPr="007477D1" w:rsidRDefault="00BD1FA8" w:rsidP="003173B5">
            <w:pPr>
              <w:pStyle w:val="ListParagraph"/>
              <w:numPr>
                <w:ilvl w:val="0"/>
                <w:numId w:val="10"/>
              </w:numPr>
              <w:rPr>
                <w:rFonts w:asciiTheme="minorHAnsi" w:hAnsiTheme="minorHAnsi"/>
                <w:szCs w:val="22"/>
              </w:rPr>
            </w:pPr>
            <w:r w:rsidRPr="007477D1">
              <w:rPr>
                <w:rFonts w:asciiTheme="minorHAnsi" w:hAnsiTheme="minorHAnsi"/>
                <w:szCs w:val="22"/>
              </w:rPr>
              <w:t>Alison Kennedy, Acting Head, Education Standards and Methodology, UNESCO Institute for Statistics</w:t>
            </w:r>
          </w:p>
          <w:p w:rsidR="00BD1FA8" w:rsidRPr="007477D1" w:rsidRDefault="00BD1FA8" w:rsidP="003173B5">
            <w:pPr>
              <w:rPr>
                <w:rFonts w:asciiTheme="minorHAnsi" w:hAnsiTheme="minorHAnsi"/>
                <w:i/>
                <w:szCs w:val="22"/>
              </w:rPr>
            </w:pPr>
            <w:r w:rsidRPr="007477D1">
              <w:rPr>
                <w:rFonts w:asciiTheme="minorHAnsi" w:hAnsiTheme="minorHAnsi"/>
                <w:szCs w:val="22"/>
              </w:rPr>
              <w:t>Discussion</w:t>
            </w:r>
          </w:p>
        </w:tc>
      </w:tr>
      <w:tr w:rsidR="00BD1FA8" w:rsidRPr="007477D1" w:rsidTr="001B358E">
        <w:tc>
          <w:tcPr>
            <w:tcW w:w="1842" w:type="dxa"/>
          </w:tcPr>
          <w:p w:rsidR="00BD1FA8" w:rsidRPr="007477D1" w:rsidRDefault="00BD1FA8" w:rsidP="003173B5">
            <w:pPr>
              <w:rPr>
                <w:rFonts w:asciiTheme="minorHAnsi" w:hAnsiTheme="minorHAnsi" w:cstheme="minorHAnsi"/>
                <w:szCs w:val="22"/>
              </w:rPr>
            </w:pPr>
            <w:r w:rsidRPr="007477D1">
              <w:rPr>
                <w:rFonts w:asciiTheme="minorHAnsi" w:hAnsiTheme="minorHAnsi" w:cstheme="minorHAnsi"/>
                <w:szCs w:val="22"/>
              </w:rPr>
              <w:t>10:</w:t>
            </w:r>
            <w:r w:rsidR="00937D1D">
              <w:rPr>
                <w:rFonts w:asciiTheme="minorHAnsi" w:hAnsiTheme="minorHAnsi" w:cstheme="minorHAnsi"/>
                <w:szCs w:val="22"/>
              </w:rPr>
              <w:t>30 -  10</w:t>
            </w:r>
            <w:r w:rsidRPr="007477D1">
              <w:rPr>
                <w:rFonts w:asciiTheme="minorHAnsi" w:hAnsiTheme="minorHAnsi" w:cstheme="minorHAnsi"/>
                <w:szCs w:val="22"/>
              </w:rPr>
              <w:t>:</w:t>
            </w:r>
            <w:r w:rsidR="00937D1D">
              <w:rPr>
                <w:rFonts w:asciiTheme="minorHAnsi" w:hAnsiTheme="minorHAnsi" w:cstheme="minorHAnsi"/>
                <w:szCs w:val="22"/>
              </w:rPr>
              <w:t>45</w:t>
            </w:r>
          </w:p>
        </w:tc>
        <w:tc>
          <w:tcPr>
            <w:tcW w:w="7220" w:type="dxa"/>
            <w:shd w:val="clear" w:color="auto" w:fill="FFFFFF" w:themeFill="background1"/>
          </w:tcPr>
          <w:p w:rsidR="00BD1FA8" w:rsidRPr="007477D1" w:rsidRDefault="00BD1FA8" w:rsidP="003173B5">
            <w:pPr>
              <w:rPr>
                <w:rFonts w:asciiTheme="minorHAnsi" w:hAnsiTheme="minorHAnsi"/>
                <w:b/>
                <w:szCs w:val="22"/>
                <w:u w:val="single"/>
              </w:rPr>
            </w:pPr>
            <w:r w:rsidRPr="007477D1">
              <w:rPr>
                <w:rFonts w:asciiTheme="minorHAnsi" w:hAnsiTheme="minorHAnsi"/>
                <w:szCs w:val="22"/>
              </w:rPr>
              <w:t>Coffee break</w:t>
            </w:r>
          </w:p>
        </w:tc>
      </w:tr>
      <w:tr w:rsidR="00BD1FA8" w:rsidRPr="007477D1" w:rsidTr="001B358E">
        <w:tc>
          <w:tcPr>
            <w:tcW w:w="1842" w:type="dxa"/>
          </w:tcPr>
          <w:p w:rsidR="00BD1FA8" w:rsidRPr="007477D1" w:rsidRDefault="00BD1FA8" w:rsidP="003173B5">
            <w:pPr>
              <w:rPr>
                <w:rFonts w:asciiTheme="minorHAnsi" w:hAnsiTheme="minorHAnsi"/>
                <w:szCs w:val="22"/>
              </w:rPr>
            </w:pPr>
            <w:r w:rsidRPr="007477D1">
              <w:rPr>
                <w:rFonts w:asciiTheme="minorHAnsi" w:hAnsiTheme="minorHAnsi"/>
                <w:szCs w:val="22"/>
              </w:rPr>
              <w:t>1</w:t>
            </w:r>
            <w:r w:rsidR="00937D1D">
              <w:rPr>
                <w:rFonts w:asciiTheme="minorHAnsi" w:hAnsiTheme="minorHAnsi"/>
                <w:szCs w:val="22"/>
              </w:rPr>
              <w:t>0</w:t>
            </w:r>
            <w:r w:rsidRPr="007477D1">
              <w:rPr>
                <w:rFonts w:asciiTheme="minorHAnsi" w:hAnsiTheme="minorHAnsi"/>
                <w:szCs w:val="22"/>
              </w:rPr>
              <w:t>:</w:t>
            </w:r>
            <w:r w:rsidR="00937D1D">
              <w:rPr>
                <w:rFonts w:asciiTheme="minorHAnsi" w:hAnsiTheme="minorHAnsi"/>
                <w:szCs w:val="22"/>
              </w:rPr>
              <w:t>45</w:t>
            </w:r>
            <w:r w:rsidRPr="007477D1">
              <w:rPr>
                <w:rFonts w:asciiTheme="minorHAnsi" w:hAnsiTheme="minorHAnsi"/>
                <w:szCs w:val="22"/>
              </w:rPr>
              <w:t xml:space="preserve"> – 13:00</w:t>
            </w:r>
          </w:p>
        </w:tc>
        <w:tc>
          <w:tcPr>
            <w:tcW w:w="7220" w:type="dxa"/>
          </w:tcPr>
          <w:p w:rsidR="00BD1FA8" w:rsidRPr="007477D1" w:rsidRDefault="00BD1FA8" w:rsidP="003173B5">
            <w:pPr>
              <w:rPr>
                <w:rFonts w:asciiTheme="minorHAnsi" w:hAnsiTheme="minorHAnsi"/>
                <w:szCs w:val="22"/>
              </w:rPr>
            </w:pPr>
            <w:r w:rsidRPr="007477D1">
              <w:rPr>
                <w:rFonts w:asciiTheme="minorHAnsi" w:hAnsiTheme="minorHAnsi"/>
                <w:b/>
                <w:szCs w:val="22"/>
                <w:u w:val="single"/>
              </w:rPr>
              <w:t>Session 2:</w:t>
            </w:r>
            <w:r w:rsidRPr="007477D1">
              <w:rPr>
                <w:rFonts w:asciiTheme="minorHAnsi" w:hAnsiTheme="minorHAnsi"/>
                <w:b/>
                <w:szCs w:val="22"/>
              </w:rPr>
              <w:t xml:space="preserve"> A “lite” template for data collection for 16.10.2 at global and national levels </w:t>
            </w:r>
          </w:p>
          <w:p w:rsidR="00BD1FA8" w:rsidRPr="007477D1" w:rsidRDefault="00BD1FA8" w:rsidP="003173B5">
            <w:pPr>
              <w:rPr>
                <w:rFonts w:asciiTheme="minorHAnsi" w:hAnsiTheme="minorHAnsi"/>
                <w:szCs w:val="22"/>
              </w:rPr>
            </w:pPr>
            <w:r w:rsidRPr="007477D1">
              <w:rPr>
                <w:rFonts w:asciiTheme="minorHAnsi" w:hAnsiTheme="minorHAnsi"/>
                <w:szCs w:val="22"/>
              </w:rPr>
              <w:t>Moderator: UNESCO Rosa M. Gonzalez, IPDC deputy secretary.</w:t>
            </w:r>
          </w:p>
          <w:p w:rsidR="00BD1FA8" w:rsidRPr="007477D1" w:rsidRDefault="00BD1FA8" w:rsidP="003173B5">
            <w:pPr>
              <w:rPr>
                <w:rFonts w:asciiTheme="minorHAnsi" w:hAnsiTheme="minorHAnsi"/>
                <w:szCs w:val="22"/>
              </w:rPr>
            </w:pPr>
            <w:r w:rsidRPr="007477D1">
              <w:rPr>
                <w:rFonts w:asciiTheme="minorHAnsi" w:hAnsiTheme="minorHAnsi"/>
                <w:szCs w:val="22"/>
              </w:rPr>
              <w:t>8 minute-long presentations by:</w:t>
            </w:r>
          </w:p>
          <w:p w:rsidR="00BD1FA8" w:rsidRPr="007477D1" w:rsidRDefault="00BD1FA8" w:rsidP="003173B5">
            <w:pPr>
              <w:pStyle w:val="ListParagraph"/>
              <w:numPr>
                <w:ilvl w:val="0"/>
                <w:numId w:val="11"/>
              </w:numPr>
              <w:rPr>
                <w:rFonts w:asciiTheme="minorHAnsi" w:hAnsiTheme="minorHAnsi"/>
                <w:szCs w:val="22"/>
              </w:rPr>
            </w:pPr>
            <w:r w:rsidRPr="007477D1">
              <w:rPr>
                <w:rFonts w:asciiTheme="minorHAnsi" w:hAnsiTheme="minorHAnsi"/>
                <w:szCs w:val="22"/>
              </w:rPr>
              <w:t xml:space="preserve">Beatriz Valdez Melgar, Statistical Assistant, Communication, UNESCO Institute for Statistics </w:t>
            </w:r>
          </w:p>
          <w:p w:rsidR="00BD1FA8" w:rsidRPr="007477D1" w:rsidRDefault="00BD1FA8" w:rsidP="003173B5">
            <w:pPr>
              <w:pStyle w:val="ListParagraph"/>
              <w:numPr>
                <w:ilvl w:val="0"/>
                <w:numId w:val="11"/>
              </w:numPr>
              <w:rPr>
                <w:rFonts w:asciiTheme="minorHAnsi" w:hAnsiTheme="minorHAnsi"/>
                <w:szCs w:val="22"/>
              </w:rPr>
            </w:pPr>
            <w:r w:rsidRPr="007477D1">
              <w:rPr>
                <w:rFonts w:asciiTheme="minorHAnsi" w:hAnsiTheme="minorHAnsi"/>
                <w:szCs w:val="22"/>
              </w:rPr>
              <w:t>Paul Maassen, Chief, Country Support, Open Government Partnership</w:t>
            </w:r>
          </w:p>
          <w:p w:rsidR="00BD1FA8" w:rsidRPr="007477D1" w:rsidRDefault="00BD1FA8" w:rsidP="003173B5">
            <w:pPr>
              <w:pStyle w:val="ListParagraph"/>
              <w:numPr>
                <w:ilvl w:val="0"/>
                <w:numId w:val="11"/>
              </w:numPr>
              <w:rPr>
                <w:rFonts w:asciiTheme="minorHAnsi" w:hAnsiTheme="minorHAnsi"/>
                <w:szCs w:val="22"/>
              </w:rPr>
            </w:pPr>
            <w:r w:rsidRPr="007477D1">
              <w:rPr>
                <w:rFonts w:asciiTheme="minorHAnsi" w:hAnsiTheme="minorHAnsi"/>
                <w:szCs w:val="22"/>
              </w:rPr>
              <w:t>Helen Darbishire, Executive Director, Access Info Europe</w:t>
            </w:r>
          </w:p>
          <w:p w:rsidR="00BD1FA8" w:rsidRPr="007477D1" w:rsidRDefault="00BD1FA8" w:rsidP="003173B5">
            <w:pPr>
              <w:pStyle w:val="ListParagraph"/>
              <w:numPr>
                <w:ilvl w:val="0"/>
                <w:numId w:val="11"/>
              </w:numPr>
              <w:rPr>
                <w:rFonts w:asciiTheme="minorHAnsi" w:hAnsiTheme="minorHAnsi"/>
                <w:szCs w:val="22"/>
              </w:rPr>
            </w:pPr>
            <w:r w:rsidRPr="007477D1">
              <w:rPr>
                <w:rFonts w:asciiTheme="minorHAnsi" w:hAnsiTheme="minorHAnsi"/>
                <w:szCs w:val="22"/>
              </w:rPr>
              <w:t xml:space="preserve">Katelyn Rogers, Project Leads, Global Open Data Index  </w:t>
            </w:r>
          </w:p>
          <w:p w:rsidR="00937D1D" w:rsidRDefault="00937D1D" w:rsidP="003173B5">
            <w:pPr>
              <w:rPr>
                <w:rFonts w:asciiTheme="minorHAnsi" w:hAnsiTheme="minorHAnsi"/>
                <w:szCs w:val="22"/>
              </w:rPr>
            </w:pPr>
            <w:r>
              <w:rPr>
                <w:rFonts w:asciiTheme="minorHAnsi" w:hAnsiTheme="minorHAnsi"/>
                <w:szCs w:val="22"/>
              </w:rPr>
              <w:t>General d</w:t>
            </w:r>
            <w:r w:rsidR="00BD1FA8" w:rsidRPr="007477D1">
              <w:rPr>
                <w:rFonts w:asciiTheme="minorHAnsi" w:hAnsiTheme="minorHAnsi"/>
                <w:szCs w:val="22"/>
              </w:rPr>
              <w:t>iscussion</w:t>
            </w:r>
            <w:r>
              <w:rPr>
                <w:rFonts w:asciiTheme="minorHAnsi" w:hAnsiTheme="minorHAnsi"/>
                <w:szCs w:val="22"/>
              </w:rPr>
              <w:t xml:space="preserve"> on the role and scope of the“lite” template</w:t>
            </w:r>
          </w:p>
          <w:p w:rsidR="00BD1FA8" w:rsidRPr="007477D1" w:rsidRDefault="00937D1D" w:rsidP="003173B5">
            <w:pPr>
              <w:rPr>
                <w:rFonts w:asciiTheme="minorHAnsi" w:hAnsiTheme="minorHAnsi"/>
                <w:i/>
                <w:szCs w:val="22"/>
              </w:rPr>
            </w:pPr>
            <w:r>
              <w:rPr>
                <w:rFonts w:asciiTheme="minorHAnsi" w:hAnsiTheme="minorHAnsi"/>
                <w:szCs w:val="22"/>
              </w:rPr>
              <w:t>Specific discussion</w:t>
            </w:r>
            <w:r w:rsidR="00BD1FA8" w:rsidRPr="007477D1">
              <w:rPr>
                <w:rFonts w:asciiTheme="minorHAnsi" w:hAnsiTheme="minorHAnsi"/>
                <w:szCs w:val="22"/>
              </w:rPr>
              <w:t xml:space="preserve"> </w:t>
            </w:r>
            <w:r>
              <w:rPr>
                <w:rFonts w:asciiTheme="minorHAnsi" w:hAnsiTheme="minorHAnsi"/>
                <w:szCs w:val="22"/>
              </w:rPr>
              <w:t>on the proposed “lite” indicators</w:t>
            </w:r>
          </w:p>
        </w:tc>
      </w:tr>
      <w:tr w:rsidR="00BD1FA8" w:rsidRPr="007477D1" w:rsidTr="001B358E">
        <w:tc>
          <w:tcPr>
            <w:tcW w:w="1842" w:type="dxa"/>
          </w:tcPr>
          <w:p w:rsidR="00BD1FA8" w:rsidRPr="007477D1" w:rsidRDefault="00BD1FA8" w:rsidP="003173B5">
            <w:pPr>
              <w:rPr>
                <w:rFonts w:asciiTheme="minorHAnsi" w:hAnsiTheme="minorHAnsi"/>
                <w:szCs w:val="22"/>
              </w:rPr>
            </w:pPr>
            <w:r w:rsidRPr="007477D1">
              <w:rPr>
                <w:rFonts w:asciiTheme="minorHAnsi" w:hAnsiTheme="minorHAnsi"/>
                <w:szCs w:val="22"/>
              </w:rPr>
              <w:t>13:00 – 15:00</w:t>
            </w:r>
          </w:p>
        </w:tc>
        <w:tc>
          <w:tcPr>
            <w:tcW w:w="7220" w:type="dxa"/>
          </w:tcPr>
          <w:p w:rsidR="00BD1FA8" w:rsidRPr="007477D1" w:rsidRDefault="00BD1FA8" w:rsidP="003173B5">
            <w:pPr>
              <w:rPr>
                <w:rFonts w:asciiTheme="minorHAnsi" w:hAnsiTheme="minorHAnsi"/>
                <w:b/>
                <w:szCs w:val="22"/>
                <w:u w:val="single"/>
              </w:rPr>
            </w:pPr>
            <w:r w:rsidRPr="007477D1">
              <w:rPr>
                <w:rFonts w:asciiTheme="minorHAnsi" w:hAnsiTheme="minorHAnsi"/>
                <w:szCs w:val="22"/>
              </w:rPr>
              <w:t>Lunch break</w:t>
            </w:r>
          </w:p>
        </w:tc>
      </w:tr>
      <w:tr w:rsidR="00BD1FA8" w:rsidRPr="007477D1" w:rsidTr="001B358E">
        <w:tc>
          <w:tcPr>
            <w:tcW w:w="1842" w:type="dxa"/>
          </w:tcPr>
          <w:p w:rsidR="00BD1FA8" w:rsidRPr="007477D1" w:rsidRDefault="00BD1FA8" w:rsidP="003173B5">
            <w:pPr>
              <w:rPr>
                <w:rFonts w:asciiTheme="minorHAnsi" w:hAnsiTheme="minorHAnsi"/>
                <w:szCs w:val="22"/>
              </w:rPr>
            </w:pPr>
            <w:r w:rsidRPr="007477D1">
              <w:rPr>
                <w:rFonts w:asciiTheme="minorHAnsi" w:hAnsiTheme="minorHAnsi"/>
                <w:szCs w:val="22"/>
              </w:rPr>
              <w:t>15:00 – 15:45</w:t>
            </w:r>
          </w:p>
        </w:tc>
        <w:tc>
          <w:tcPr>
            <w:tcW w:w="7220" w:type="dxa"/>
          </w:tcPr>
          <w:p w:rsidR="00BD1FA8" w:rsidRPr="007477D1" w:rsidRDefault="00BD1FA8" w:rsidP="003173B5">
            <w:pPr>
              <w:rPr>
                <w:rFonts w:asciiTheme="minorHAnsi" w:hAnsiTheme="minorHAnsi"/>
                <w:b/>
                <w:szCs w:val="22"/>
              </w:rPr>
            </w:pPr>
            <w:r w:rsidRPr="007477D1">
              <w:rPr>
                <w:rFonts w:asciiTheme="minorHAnsi" w:hAnsiTheme="minorHAnsi"/>
                <w:b/>
                <w:szCs w:val="22"/>
                <w:u w:val="single"/>
              </w:rPr>
              <w:t>Session 3:</w:t>
            </w:r>
            <w:r w:rsidRPr="007477D1">
              <w:rPr>
                <w:rFonts w:asciiTheme="minorHAnsi" w:hAnsiTheme="minorHAnsi"/>
                <w:b/>
                <w:szCs w:val="22"/>
              </w:rPr>
              <w:t xml:space="preserve"> An elaborated template for data collection on SDG 16.10.2 for in depth and case-study research in a sample of countries. </w:t>
            </w:r>
          </w:p>
          <w:p w:rsidR="00BD1FA8" w:rsidRPr="007477D1" w:rsidRDefault="00BD1FA8" w:rsidP="003173B5">
            <w:pPr>
              <w:rPr>
                <w:rFonts w:asciiTheme="minorHAnsi" w:hAnsiTheme="minorHAnsi"/>
                <w:szCs w:val="22"/>
              </w:rPr>
            </w:pPr>
            <w:r w:rsidRPr="007477D1">
              <w:rPr>
                <w:rFonts w:asciiTheme="minorHAnsi" w:hAnsiTheme="minorHAnsi"/>
                <w:szCs w:val="22"/>
              </w:rPr>
              <w:t xml:space="preserve">Moderator: UNESCO Sylvie Coudray, Chief of Section for Freedom of Expression. </w:t>
            </w:r>
          </w:p>
          <w:p w:rsidR="00BD1FA8" w:rsidRPr="007477D1" w:rsidRDefault="00BD1FA8" w:rsidP="003173B5">
            <w:pPr>
              <w:rPr>
                <w:rFonts w:asciiTheme="minorHAnsi" w:hAnsiTheme="minorHAnsi"/>
                <w:szCs w:val="22"/>
              </w:rPr>
            </w:pPr>
            <w:r w:rsidRPr="007477D1">
              <w:rPr>
                <w:rFonts w:asciiTheme="minorHAnsi" w:hAnsiTheme="minorHAnsi"/>
                <w:szCs w:val="22"/>
              </w:rPr>
              <w:t xml:space="preserve">Presentations by: </w:t>
            </w:r>
          </w:p>
          <w:p w:rsidR="00BD1FA8" w:rsidRPr="007477D1" w:rsidRDefault="00BD1FA8" w:rsidP="003173B5">
            <w:pPr>
              <w:pStyle w:val="ListParagraph"/>
              <w:numPr>
                <w:ilvl w:val="0"/>
                <w:numId w:val="12"/>
              </w:numPr>
              <w:rPr>
                <w:rFonts w:asciiTheme="minorHAnsi" w:hAnsiTheme="minorHAnsi"/>
                <w:szCs w:val="22"/>
              </w:rPr>
            </w:pPr>
            <w:r w:rsidRPr="007477D1">
              <w:rPr>
                <w:rFonts w:asciiTheme="minorHAnsi" w:hAnsiTheme="minorHAnsi"/>
                <w:szCs w:val="22"/>
              </w:rPr>
              <w:t>Toby Mendel, Executive Director, Centre for Law and Democracy</w:t>
            </w:r>
          </w:p>
          <w:p w:rsidR="00BD1FA8" w:rsidRPr="007477D1" w:rsidRDefault="00BD1FA8" w:rsidP="003173B5">
            <w:pPr>
              <w:pStyle w:val="ListParagraph"/>
              <w:numPr>
                <w:ilvl w:val="0"/>
                <w:numId w:val="12"/>
              </w:numPr>
              <w:rPr>
                <w:rFonts w:asciiTheme="minorHAnsi" w:hAnsiTheme="minorHAnsi"/>
                <w:szCs w:val="22"/>
              </w:rPr>
            </w:pPr>
            <w:r w:rsidRPr="007477D1">
              <w:rPr>
                <w:rFonts w:asciiTheme="minorHAnsi" w:hAnsiTheme="minorHAnsi"/>
                <w:szCs w:val="22"/>
              </w:rPr>
              <w:t>Laura Neuman,  Director, The Carter Center</w:t>
            </w:r>
          </w:p>
          <w:p w:rsidR="00BD1FA8" w:rsidRPr="007477D1" w:rsidRDefault="00BD1FA8" w:rsidP="003173B5">
            <w:pPr>
              <w:pStyle w:val="ListParagraph"/>
              <w:numPr>
                <w:ilvl w:val="0"/>
                <w:numId w:val="12"/>
              </w:numPr>
              <w:rPr>
                <w:rFonts w:asciiTheme="minorHAnsi" w:hAnsiTheme="minorHAnsi"/>
                <w:szCs w:val="22"/>
              </w:rPr>
            </w:pPr>
            <w:r w:rsidRPr="007477D1">
              <w:rPr>
                <w:rFonts w:asciiTheme="minorHAnsi" w:hAnsiTheme="minorHAnsi"/>
                <w:szCs w:val="22"/>
              </w:rPr>
              <w:t>Sumir Lal, the Director, ECR, in charge of the Access to Information Policy, World Bank</w:t>
            </w:r>
          </w:p>
          <w:p w:rsidR="00BD1FA8" w:rsidRPr="007477D1" w:rsidRDefault="00BD1FA8" w:rsidP="003173B5">
            <w:pPr>
              <w:rPr>
                <w:rFonts w:asciiTheme="minorHAnsi" w:hAnsiTheme="minorHAnsi"/>
                <w:szCs w:val="22"/>
              </w:rPr>
            </w:pPr>
            <w:r w:rsidRPr="007477D1">
              <w:rPr>
                <w:rFonts w:asciiTheme="minorHAnsi" w:hAnsiTheme="minorHAnsi"/>
                <w:szCs w:val="22"/>
              </w:rPr>
              <w:t>Discussion</w:t>
            </w:r>
            <w:r w:rsidRPr="007477D1">
              <w:rPr>
                <w:rFonts w:asciiTheme="minorHAnsi" w:hAnsiTheme="minorHAnsi"/>
                <w:szCs w:val="22"/>
              </w:rPr>
              <w:tab/>
            </w:r>
          </w:p>
        </w:tc>
      </w:tr>
      <w:tr w:rsidR="00BD1FA8" w:rsidRPr="007477D1" w:rsidTr="001B358E">
        <w:tc>
          <w:tcPr>
            <w:tcW w:w="1842" w:type="dxa"/>
          </w:tcPr>
          <w:p w:rsidR="00BD1FA8" w:rsidRPr="007477D1" w:rsidRDefault="00BD1FA8" w:rsidP="003173B5">
            <w:pPr>
              <w:rPr>
                <w:rFonts w:asciiTheme="minorHAnsi" w:hAnsiTheme="minorHAnsi"/>
                <w:szCs w:val="22"/>
              </w:rPr>
            </w:pPr>
            <w:r w:rsidRPr="007477D1">
              <w:rPr>
                <w:rFonts w:asciiTheme="minorHAnsi" w:hAnsiTheme="minorHAnsi"/>
                <w:szCs w:val="22"/>
              </w:rPr>
              <w:t>15:45– 16:00</w:t>
            </w:r>
          </w:p>
        </w:tc>
        <w:tc>
          <w:tcPr>
            <w:tcW w:w="7220" w:type="dxa"/>
          </w:tcPr>
          <w:p w:rsidR="00BD1FA8" w:rsidRPr="007477D1" w:rsidRDefault="00BD1FA8" w:rsidP="003173B5">
            <w:pPr>
              <w:rPr>
                <w:rFonts w:asciiTheme="minorHAnsi" w:hAnsiTheme="minorHAnsi"/>
                <w:szCs w:val="22"/>
              </w:rPr>
            </w:pPr>
            <w:r w:rsidRPr="007477D1">
              <w:rPr>
                <w:rFonts w:asciiTheme="minorHAnsi" w:hAnsiTheme="minorHAnsi"/>
                <w:szCs w:val="22"/>
              </w:rPr>
              <w:t>Coffee break</w:t>
            </w:r>
          </w:p>
        </w:tc>
      </w:tr>
      <w:tr w:rsidR="00BD1FA8" w:rsidRPr="007477D1" w:rsidTr="001B358E">
        <w:tc>
          <w:tcPr>
            <w:tcW w:w="1842" w:type="dxa"/>
          </w:tcPr>
          <w:p w:rsidR="00BD1FA8" w:rsidRPr="007477D1" w:rsidRDefault="00BD1FA8" w:rsidP="003173B5">
            <w:pPr>
              <w:rPr>
                <w:rFonts w:asciiTheme="minorHAnsi" w:hAnsiTheme="minorHAnsi"/>
                <w:szCs w:val="22"/>
              </w:rPr>
            </w:pPr>
            <w:r w:rsidRPr="007477D1">
              <w:rPr>
                <w:rFonts w:asciiTheme="minorHAnsi" w:hAnsiTheme="minorHAnsi"/>
                <w:szCs w:val="22"/>
              </w:rPr>
              <w:t>16:00– 17:30</w:t>
            </w:r>
          </w:p>
        </w:tc>
        <w:tc>
          <w:tcPr>
            <w:tcW w:w="7220" w:type="dxa"/>
          </w:tcPr>
          <w:p w:rsidR="00BD1FA8" w:rsidRPr="007477D1" w:rsidRDefault="00BD1FA8" w:rsidP="003173B5">
            <w:pPr>
              <w:rPr>
                <w:rFonts w:asciiTheme="minorHAnsi" w:hAnsiTheme="minorHAnsi"/>
                <w:b/>
                <w:szCs w:val="22"/>
              </w:rPr>
            </w:pPr>
            <w:r w:rsidRPr="007477D1">
              <w:rPr>
                <w:rFonts w:asciiTheme="minorHAnsi" w:hAnsiTheme="minorHAnsi"/>
                <w:b/>
                <w:szCs w:val="22"/>
                <w:u w:val="single"/>
              </w:rPr>
              <w:t xml:space="preserve">Session 4: </w:t>
            </w:r>
            <w:r w:rsidRPr="007477D1">
              <w:rPr>
                <w:rFonts w:asciiTheme="minorHAnsi" w:hAnsiTheme="minorHAnsi"/>
                <w:b/>
                <w:szCs w:val="22"/>
              </w:rPr>
              <w:t xml:space="preserve">Ways forward to use data collected for 16.10.2, including linkages to other SDGs. </w:t>
            </w:r>
          </w:p>
          <w:p w:rsidR="00BD1FA8" w:rsidRPr="007477D1" w:rsidRDefault="00BD1FA8" w:rsidP="003173B5">
            <w:pPr>
              <w:rPr>
                <w:rFonts w:asciiTheme="minorHAnsi" w:hAnsiTheme="minorHAnsi"/>
                <w:b/>
                <w:szCs w:val="22"/>
                <w:u w:val="single"/>
              </w:rPr>
            </w:pPr>
            <w:r w:rsidRPr="007477D1">
              <w:rPr>
                <w:rFonts w:asciiTheme="minorHAnsi" w:hAnsiTheme="minorHAnsi"/>
                <w:szCs w:val="22"/>
              </w:rPr>
              <w:t xml:space="preserve">Moderator: </w:t>
            </w:r>
            <w:r w:rsidR="00937D1D" w:rsidRPr="007477D1">
              <w:rPr>
                <w:rFonts w:asciiTheme="minorHAnsi" w:hAnsiTheme="minorHAnsi"/>
                <w:szCs w:val="22"/>
              </w:rPr>
              <w:t xml:space="preserve">Albana Shala, UNESCO IPDC Chair </w:t>
            </w:r>
            <w:r w:rsidR="00937D1D">
              <w:rPr>
                <w:rFonts w:asciiTheme="minorHAnsi" w:hAnsiTheme="minorHAnsi"/>
                <w:szCs w:val="22"/>
              </w:rPr>
              <w:t xml:space="preserve"> </w:t>
            </w:r>
          </w:p>
          <w:p w:rsidR="00BD1FA8" w:rsidRPr="007477D1" w:rsidRDefault="00BD1FA8" w:rsidP="003173B5">
            <w:pPr>
              <w:rPr>
                <w:rFonts w:asciiTheme="minorHAnsi" w:hAnsiTheme="minorHAnsi"/>
                <w:szCs w:val="22"/>
              </w:rPr>
            </w:pPr>
            <w:r w:rsidRPr="007477D1">
              <w:rPr>
                <w:rFonts w:asciiTheme="minorHAnsi" w:hAnsiTheme="minorHAnsi"/>
                <w:szCs w:val="22"/>
              </w:rPr>
              <w:t>Presentations by:</w:t>
            </w:r>
          </w:p>
          <w:p w:rsidR="00937D1D" w:rsidRDefault="00937D1D" w:rsidP="003173B5">
            <w:pPr>
              <w:pStyle w:val="ListParagraph"/>
              <w:numPr>
                <w:ilvl w:val="0"/>
                <w:numId w:val="13"/>
              </w:numPr>
              <w:rPr>
                <w:rFonts w:asciiTheme="minorHAnsi" w:hAnsiTheme="minorHAnsi"/>
                <w:szCs w:val="22"/>
              </w:rPr>
            </w:pPr>
            <w:r w:rsidRPr="007477D1">
              <w:rPr>
                <w:rFonts w:asciiTheme="minorHAnsi" w:hAnsiTheme="minorHAnsi"/>
                <w:szCs w:val="22"/>
              </w:rPr>
              <w:t xml:space="preserve">Yi-han Wen IPDC secretariat </w:t>
            </w:r>
            <w:r>
              <w:rPr>
                <w:rFonts w:asciiTheme="minorHAnsi" w:hAnsiTheme="minorHAnsi"/>
                <w:szCs w:val="22"/>
              </w:rPr>
              <w:t>(IPDCtalks)</w:t>
            </w:r>
          </w:p>
          <w:p w:rsidR="00BD1FA8" w:rsidRPr="007477D1" w:rsidRDefault="00BD1FA8" w:rsidP="003173B5">
            <w:pPr>
              <w:pStyle w:val="ListParagraph"/>
              <w:numPr>
                <w:ilvl w:val="0"/>
                <w:numId w:val="13"/>
              </w:numPr>
              <w:rPr>
                <w:rFonts w:asciiTheme="minorHAnsi" w:hAnsiTheme="minorHAnsi"/>
                <w:szCs w:val="22"/>
              </w:rPr>
            </w:pPr>
            <w:r w:rsidRPr="007477D1">
              <w:rPr>
                <w:rFonts w:asciiTheme="minorHAnsi" w:hAnsiTheme="minorHAnsi"/>
                <w:szCs w:val="22"/>
              </w:rPr>
              <w:t>Gilbert Sendugwa, Africa Freedom of Information Centre.</w:t>
            </w:r>
          </w:p>
          <w:p w:rsidR="00937D1D" w:rsidRDefault="00603B3F" w:rsidP="003173B5">
            <w:pPr>
              <w:pStyle w:val="ListParagraph"/>
              <w:numPr>
                <w:ilvl w:val="0"/>
                <w:numId w:val="13"/>
              </w:numPr>
              <w:rPr>
                <w:rFonts w:asciiTheme="minorHAnsi" w:hAnsiTheme="minorHAnsi"/>
                <w:szCs w:val="22"/>
              </w:rPr>
            </w:pPr>
            <w:r w:rsidRPr="007477D1">
              <w:rPr>
                <w:rFonts w:asciiTheme="minorHAnsi" w:hAnsiTheme="minorHAnsi"/>
                <w:szCs w:val="22"/>
              </w:rPr>
              <w:t xml:space="preserve">Representative of Global Forum for Media Development and/or International Freedom of Expression Exchange </w:t>
            </w:r>
          </w:p>
          <w:p w:rsidR="00BD1FA8" w:rsidRPr="00937D1D" w:rsidRDefault="00937D1D" w:rsidP="003173B5">
            <w:pPr>
              <w:pStyle w:val="ListParagraph"/>
              <w:numPr>
                <w:ilvl w:val="0"/>
                <w:numId w:val="13"/>
              </w:numPr>
              <w:rPr>
                <w:rFonts w:asciiTheme="minorHAnsi" w:hAnsiTheme="minorHAnsi"/>
                <w:szCs w:val="22"/>
              </w:rPr>
            </w:pPr>
            <w:r w:rsidRPr="007477D1">
              <w:rPr>
                <w:rFonts w:asciiTheme="minorHAnsi" w:hAnsiTheme="minorHAnsi"/>
                <w:szCs w:val="22"/>
              </w:rPr>
              <w:t>Marius Lukosiunas, UNESCO</w:t>
            </w:r>
          </w:p>
        </w:tc>
      </w:tr>
    </w:tbl>
    <w:p w:rsidR="00E471B6" w:rsidRPr="0006149C" w:rsidRDefault="00E471B6" w:rsidP="003173B5">
      <w:pPr>
        <w:contextualSpacing/>
        <w:rPr>
          <w:rFonts w:eastAsia="SimSun" w:cs="Times New Roman"/>
          <w:bCs/>
          <w:iCs/>
          <w:lang w:eastAsia="zh-CN"/>
        </w:rPr>
      </w:pPr>
    </w:p>
    <w:p w:rsidR="0026772C" w:rsidRDefault="0026772C" w:rsidP="003173B5">
      <w:pPr>
        <w:rPr>
          <w:rFonts w:eastAsia="SimSun" w:cs="Times New Roman"/>
          <w:b/>
          <w:bCs/>
          <w:lang w:eastAsia="zh-CN"/>
        </w:rPr>
      </w:pPr>
      <w:r>
        <w:rPr>
          <w:rFonts w:eastAsia="SimSun" w:cs="Times New Roman"/>
          <w:b/>
          <w:bCs/>
          <w:lang w:eastAsia="zh-CN"/>
        </w:rPr>
        <w:br w:type="page"/>
      </w:r>
    </w:p>
    <w:p w:rsidR="002048B5" w:rsidRPr="00E3584F" w:rsidRDefault="002048B5" w:rsidP="002048B5">
      <w:pPr>
        <w:contextualSpacing/>
        <w:rPr>
          <w:rFonts w:eastAsia="SimSun" w:cs="Times New Roman"/>
          <w:b/>
          <w:bCs/>
          <w:lang w:eastAsia="zh-CN"/>
        </w:rPr>
      </w:pPr>
      <w:r w:rsidRPr="00E3584F">
        <w:rPr>
          <w:rFonts w:eastAsia="SimSun" w:cs="Times New Roman"/>
          <w:b/>
          <w:bCs/>
          <w:lang w:eastAsia="zh-CN"/>
        </w:rPr>
        <w:lastRenderedPageBreak/>
        <w:t xml:space="preserve">ANNEX 2: INVITEES </w:t>
      </w:r>
    </w:p>
    <w:p w:rsidR="002048B5" w:rsidRPr="00E3584F" w:rsidRDefault="002048B5" w:rsidP="002048B5">
      <w:pPr>
        <w:pBdr>
          <w:top w:val="nil"/>
          <w:left w:val="nil"/>
          <w:bottom w:val="nil"/>
          <w:right w:val="nil"/>
          <w:between w:val="nil"/>
          <w:bar w:val="nil"/>
        </w:pBdr>
        <w:spacing w:after="0" w:line="240" w:lineRule="auto"/>
        <w:contextualSpacing/>
        <w:rPr>
          <w:rFonts w:eastAsia="Arial Unicode MS" w:cs="Times New Roman"/>
          <w:bdr w:val="nil"/>
          <w:lang w:val="en-US"/>
        </w:rPr>
      </w:pPr>
      <w:r>
        <w:rPr>
          <w:rFonts w:eastAsia="Arial Unicode MS" w:cs="Times New Roman"/>
          <w:bdr w:val="nil"/>
          <w:lang w:val="en-US"/>
        </w:rPr>
        <w:t xml:space="preserve"> </w:t>
      </w:r>
    </w:p>
    <w:p w:rsidR="002048B5" w:rsidRPr="00912AD8" w:rsidRDefault="002048B5" w:rsidP="002048B5">
      <w:pPr>
        <w:pStyle w:val="ListParagraph"/>
        <w:numPr>
          <w:ilvl w:val="0"/>
          <w:numId w:val="13"/>
        </w:numPr>
        <w:pBdr>
          <w:top w:val="nil"/>
          <w:left w:val="nil"/>
          <w:bottom w:val="nil"/>
          <w:right w:val="nil"/>
          <w:between w:val="nil"/>
          <w:bar w:val="nil"/>
        </w:pBdr>
        <w:spacing w:after="0" w:line="240" w:lineRule="auto"/>
        <w:rPr>
          <w:rFonts w:eastAsia="SimSun" w:cs="Times New Roman"/>
          <w:bCs/>
          <w:lang w:val="en-US" w:eastAsia="zh-CN"/>
        </w:rPr>
      </w:pPr>
      <w:r>
        <w:rPr>
          <w:rFonts w:eastAsia="SimSun" w:cs="Times New Roman"/>
          <w:bCs/>
          <w:lang w:val="en-US" w:eastAsia="zh-CN"/>
        </w:rPr>
        <w:t>UNESCO Institute for Statistics (</w:t>
      </w:r>
      <w:r w:rsidRPr="00912AD8">
        <w:rPr>
          <w:rFonts w:eastAsia="SimSun" w:cs="Times New Roman"/>
          <w:bCs/>
          <w:lang w:val="en-US" w:eastAsia="zh-CN"/>
        </w:rPr>
        <w:t>Beatriz Valdez Melgar</w:t>
      </w:r>
      <w:r>
        <w:rPr>
          <w:rFonts w:eastAsia="SimSun" w:cs="Times New Roman"/>
          <w:bCs/>
          <w:lang w:val="en-US" w:eastAsia="zh-CN"/>
        </w:rPr>
        <w:t xml:space="preserve">, </w:t>
      </w:r>
      <w:r w:rsidRPr="00912AD8">
        <w:rPr>
          <w:rFonts w:eastAsia="SimSun" w:cs="Times New Roman"/>
          <w:bCs/>
          <w:lang w:val="en-US" w:eastAsia="zh-CN"/>
        </w:rPr>
        <w:t>Alison Kennedy</w:t>
      </w:r>
      <w:r>
        <w:rPr>
          <w:rFonts w:eastAsia="SimSun" w:cs="Times New Roman"/>
          <w:bCs/>
          <w:lang w:val="en-US" w:eastAsia="zh-CN"/>
        </w:rPr>
        <w:t>)</w:t>
      </w:r>
      <w:r w:rsidRPr="00912AD8">
        <w:rPr>
          <w:rFonts w:eastAsia="SimSun" w:cs="Times New Roman"/>
          <w:bCs/>
          <w:lang w:val="en-US" w:eastAsia="zh-CN"/>
        </w:rPr>
        <w:t xml:space="preserve">  </w:t>
      </w:r>
    </w:p>
    <w:p w:rsidR="002048B5" w:rsidRPr="00912AD8" w:rsidRDefault="002048B5" w:rsidP="002048B5">
      <w:pPr>
        <w:pStyle w:val="ListParagraph"/>
        <w:numPr>
          <w:ilvl w:val="0"/>
          <w:numId w:val="13"/>
        </w:numPr>
        <w:pBdr>
          <w:top w:val="nil"/>
          <w:left w:val="nil"/>
          <w:bottom w:val="nil"/>
          <w:right w:val="nil"/>
          <w:between w:val="nil"/>
          <w:bar w:val="nil"/>
        </w:pBdr>
        <w:spacing w:after="0" w:line="240" w:lineRule="auto"/>
        <w:rPr>
          <w:rFonts w:eastAsia="SimSun" w:cs="Times New Roman"/>
          <w:bCs/>
          <w:lang w:val="en-US" w:eastAsia="zh-CN"/>
        </w:rPr>
      </w:pPr>
      <w:r w:rsidRPr="00144213">
        <w:rPr>
          <w:rFonts w:eastAsia="SimSun" w:cs="Times New Roman"/>
          <w:bCs/>
          <w:lang w:val="en-US" w:eastAsia="zh-CN"/>
        </w:rPr>
        <w:t>UNDP</w:t>
      </w:r>
      <w:r>
        <w:rPr>
          <w:rFonts w:eastAsia="SimSun" w:cs="Times New Roman"/>
          <w:bCs/>
          <w:lang w:val="en-US" w:eastAsia="zh-CN"/>
        </w:rPr>
        <w:t xml:space="preserve"> (</w:t>
      </w:r>
      <w:r w:rsidRPr="00912AD8">
        <w:rPr>
          <w:rFonts w:eastAsia="SimSun" w:cs="Times New Roman"/>
          <w:bCs/>
          <w:lang w:val="en-US" w:eastAsia="zh-CN"/>
        </w:rPr>
        <w:t>Jairo Acuña-Alfaro</w:t>
      </w:r>
      <w:r>
        <w:rPr>
          <w:rFonts w:eastAsia="SimSun" w:cs="Times New Roman"/>
          <w:bCs/>
          <w:lang w:val="en-US" w:eastAsia="zh-CN"/>
        </w:rPr>
        <w:t>)</w:t>
      </w:r>
    </w:p>
    <w:p w:rsidR="002048B5" w:rsidRPr="00144213" w:rsidRDefault="002048B5" w:rsidP="002048B5">
      <w:pPr>
        <w:pStyle w:val="ListParagraph"/>
        <w:numPr>
          <w:ilvl w:val="0"/>
          <w:numId w:val="13"/>
        </w:numPr>
        <w:pBdr>
          <w:top w:val="nil"/>
          <w:left w:val="nil"/>
          <w:bottom w:val="nil"/>
          <w:right w:val="nil"/>
          <w:between w:val="nil"/>
          <w:bar w:val="nil"/>
        </w:pBdr>
        <w:spacing w:after="0" w:line="240" w:lineRule="auto"/>
        <w:rPr>
          <w:rFonts w:eastAsia="SimSun" w:cs="Times New Roman"/>
          <w:bCs/>
          <w:lang w:val="en-US" w:eastAsia="zh-CN"/>
        </w:rPr>
      </w:pPr>
      <w:r w:rsidRPr="00144213">
        <w:rPr>
          <w:rFonts w:eastAsia="SimSun" w:cs="Times New Roman"/>
          <w:bCs/>
          <w:lang w:val="en-US" w:eastAsia="zh-CN"/>
        </w:rPr>
        <w:t>UN Department of Economic and Social Affairs</w:t>
      </w:r>
      <w:r>
        <w:rPr>
          <w:rFonts w:eastAsia="SimSun" w:cs="Times New Roman"/>
          <w:bCs/>
          <w:lang w:val="en-US" w:eastAsia="zh-CN"/>
        </w:rPr>
        <w:t xml:space="preserve"> (</w:t>
      </w:r>
      <w:r w:rsidRPr="00912AD8">
        <w:rPr>
          <w:rFonts w:eastAsia="SimSun" w:cs="Times New Roman"/>
          <w:bCs/>
          <w:lang w:val="en-US" w:eastAsia="zh-CN"/>
        </w:rPr>
        <w:t>Yongyi Min</w:t>
      </w:r>
      <w:r>
        <w:rPr>
          <w:rFonts w:eastAsia="SimSun" w:cs="Times New Roman"/>
          <w:bCs/>
          <w:lang w:val="en-US" w:eastAsia="zh-CN"/>
        </w:rPr>
        <w:t>)</w:t>
      </w:r>
    </w:p>
    <w:p w:rsidR="002048B5" w:rsidRPr="00144213" w:rsidRDefault="002048B5" w:rsidP="002048B5">
      <w:pPr>
        <w:pStyle w:val="ListParagraph"/>
        <w:numPr>
          <w:ilvl w:val="0"/>
          <w:numId w:val="13"/>
        </w:numPr>
        <w:pBdr>
          <w:top w:val="nil"/>
          <w:left w:val="nil"/>
          <w:bottom w:val="nil"/>
          <w:right w:val="nil"/>
          <w:between w:val="nil"/>
          <w:bar w:val="nil"/>
        </w:pBdr>
        <w:spacing w:after="0" w:line="240" w:lineRule="auto"/>
        <w:rPr>
          <w:rFonts w:eastAsia="SimSun" w:cs="Times New Roman"/>
          <w:bCs/>
          <w:lang w:val="en-US" w:eastAsia="zh-CN"/>
        </w:rPr>
      </w:pPr>
      <w:r w:rsidRPr="00144213">
        <w:rPr>
          <w:rFonts w:eastAsia="SimSun" w:cs="Times New Roman"/>
          <w:bCs/>
          <w:lang w:val="en-US" w:eastAsia="zh-CN"/>
        </w:rPr>
        <w:t>Global Alliance of SDG 16</w:t>
      </w:r>
      <w:r>
        <w:rPr>
          <w:rFonts w:eastAsia="SimSun" w:cs="Times New Roman"/>
          <w:bCs/>
          <w:lang w:val="en-US" w:eastAsia="zh-CN"/>
        </w:rPr>
        <w:t xml:space="preserve"> (Lucy Turner)</w:t>
      </w:r>
    </w:p>
    <w:p w:rsidR="002048B5" w:rsidRPr="00144213" w:rsidRDefault="002048B5" w:rsidP="002048B5">
      <w:pPr>
        <w:pStyle w:val="ListParagraph"/>
        <w:numPr>
          <w:ilvl w:val="0"/>
          <w:numId w:val="13"/>
        </w:numPr>
        <w:pBdr>
          <w:top w:val="nil"/>
          <w:left w:val="nil"/>
          <w:bottom w:val="nil"/>
          <w:right w:val="nil"/>
          <w:between w:val="nil"/>
          <w:bar w:val="nil"/>
        </w:pBdr>
        <w:spacing w:after="0" w:line="240" w:lineRule="auto"/>
        <w:rPr>
          <w:rFonts w:eastAsia="SimSun" w:cs="Times New Roman"/>
          <w:bCs/>
          <w:lang w:val="en-US" w:eastAsia="zh-CN"/>
        </w:rPr>
      </w:pPr>
      <w:r w:rsidRPr="00144213">
        <w:rPr>
          <w:rFonts w:eastAsia="SimSun" w:cs="Times New Roman"/>
          <w:bCs/>
          <w:lang w:val="en-US" w:eastAsia="zh-CN"/>
        </w:rPr>
        <w:t>World Bank</w:t>
      </w:r>
      <w:r>
        <w:rPr>
          <w:rFonts w:eastAsia="SimSun" w:cs="Times New Roman"/>
          <w:bCs/>
          <w:lang w:val="en-US" w:eastAsia="zh-CN"/>
        </w:rPr>
        <w:t xml:space="preserve"> (</w:t>
      </w:r>
      <w:r w:rsidRPr="00912AD8">
        <w:rPr>
          <w:rFonts w:eastAsia="SimSun" w:cs="Times New Roman"/>
          <w:bCs/>
          <w:lang w:val="en-US" w:eastAsia="zh-CN"/>
        </w:rPr>
        <w:t>Sumir Lal</w:t>
      </w:r>
      <w:r>
        <w:rPr>
          <w:rFonts w:eastAsia="SimSun" w:cs="Times New Roman"/>
          <w:bCs/>
          <w:lang w:val="en-US" w:eastAsia="zh-CN"/>
        </w:rPr>
        <w:t>)</w:t>
      </w:r>
    </w:p>
    <w:p w:rsidR="002048B5" w:rsidRPr="00144213" w:rsidRDefault="002048B5" w:rsidP="002048B5">
      <w:pPr>
        <w:pStyle w:val="ListParagraph"/>
        <w:numPr>
          <w:ilvl w:val="0"/>
          <w:numId w:val="13"/>
        </w:numPr>
        <w:pBdr>
          <w:top w:val="nil"/>
          <w:left w:val="nil"/>
          <w:bottom w:val="nil"/>
          <w:right w:val="nil"/>
          <w:between w:val="nil"/>
          <w:bar w:val="nil"/>
        </w:pBdr>
        <w:spacing w:after="0" w:line="240" w:lineRule="auto"/>
        <w:rPr>
          <w:rFonts w:eastAsia="SimSun" w:cs="Times New Roman"/>
          <w:bCs/>
          <w:lang w:val="en-US" w:eastAsia="zh-CN"/>
        </w:rPr>
      </w:pPr>
      <w:r w:rsidRPr="00144213">
        <w:rPr>
          <w:rFonts w:eastAsia="SimSun" w:cs="Times New Roman"/>
          <w:bCs/>
          <w:lang w:val="en-US" w:eastAsia="zh-CN"/>
        </w:rPr>
        <w:t>OECD</w:t>
      </w:r>
      <w:r>
        <w:rPr>
          <w:rFonts w:eastAsia="SimSun" w:cs="Times New Roman"/>
          <w:bCs/>
          <w:lang w:val="en-US" w:eastAsia="zh-CN"/>
        </w:rPr>
        <w:t xml:space="preserve"> (</w:t>
      </w:r>
      <w:r w:rsidRPr="00912AD8">
        <w:rPr>
          <w:rFonts w:eastAsia="SimSun" w:cs="Times New Roman"/>
          <w:bCs/>
          <w:lang w:val="en-US" w:eastAsia="zh-CN"/>
        </w:rPr>
        <w:t>Alessandro Bellantoni</w:t>
      </w:r>
      <w:r>
        <w:rPr>
          <w:rFonts w:eastAsia="SimSun" w:cs="Times New Roman"/>
          <w:bCs/>
          <w:lang w:val="en-US" w:eastAsia="zh-CN"/>
        </w:rPr>
        <w:t>)</w:t>
      </w:r>
      <w:r w:rsidR="00321205">
        <w:rPr>
          <w:rFonts w:eastAsia="SimSun" w:cs="Times New Roman"/>
          <w:bCs/>
          <w:lang w:val="en-US" w:eastAsia="zh-CN"/>
        </w:rPr>
        <w:t xml:space="preserve"> </w:t>
      </w:r>
    </w:p>
    <w:p w:rsidR="002048B5" w:rsidRPr="00144213" w:rsidRDefault="002048B5" w:rsidP="00321205">
      <w:pPr>
        <w:pStyle w:val="ListParagraph"/>
        <w:numPr>
          <w:ilvl w:val="0"/>
          <w:numId w:val="13"/>
        </w:numPr>
        <w:pBdr>
          <w:top w:val="nil"/>
          <w:left w:val="nil"/>
          <w:bottom w:val="nil"/>
          <w:right w:val="nil"/>
          <w:between w:val="nil"/>
          <w:bar w:val="nil"/>
        </w:pBdr>
        <w:spacing w:after="0" w:line="240" w:lineRule="auto"/>
        <w:rPr>
          <w:rFonts w:eastAsia="SimSun" w:cs="Times New Roman"/>
          <w:bCs/>
          <w:lang w:val="en-US" w:eastAsia="zh-CN"/>
        </w:rPr>
      </w:pPr>
      <w:r w:rsidRPr="00144213">
        <w:rPr>
          <w:rFonts w:eastAsia="SimSun" w:cs="Times New Roman"/>
          <w:bCs/>
          <w:lang w:val="en-US" w:eastAsia="zh-CN"/>
        </w:rPr>
        <w:t>Open Government Partnership</w:t>
      </w:r>
      <w:r w:rsidR="00321205">
        <w:rPr>
          <w:rFonts w:eastAsia="SimSun" w:cs="Times New Roman"/>
          <w:bCs/>
          <w:lang w:val="en-US" w:eastAsia="zh-CN"/>
        </w:rPr>
        <w:t xml:space="preserve"> (</w:t>
      </w:r>
      <w:r w:rsidR="00321205" w:rsidRPr="00321205">
        <w:rPr>
          <w:rFonts w:eastAsia="SimSun" w:cs="Times New Roman"/>
          <w:bCs/>
          <w:lang w:val="en-US" w:eastAsia="zh-CN"/>
        </w:rPr>
        <w:t>Paul Maassen</w:t>
      </w:r>
      <w:r w:rsidR="00321205">
        <w:rPr>
          <w:rFonts w:eastAsia="SimSun" w:cs="Times New Roman"/>
          <w:bCs/>
          <w:lang w:val="en-US" w:eastAsia="zh-CN"/>
        </w:rPr>
        <w:t>)</w:t>
      </w:r>
    </w:p>
    <w:p w:rsidR="002048B5" w:rsidRPr="00144213" w:rsidRDefault="002048B5" w:rsidP="002048B5">
      <w:pPr>
        <w:pStyle w:val="ListParagraph"/>
        <w:numPr>
          <w:ilvl w:val="0"/>
          <w:numId w:val="13"/>
        </w:numPr>
        <w:pBdr>
          <w:top w:val="nil"/>
          <w:left w:val="nil"/>
          <w:bottom w:val="nil"/>
          <w:right w:val="nil"/>
          <w:between w:val="nil"/>
          <w:bar w:val="nil"/>
        </w:pBdr>
        <w:spacing w:after="0" w:line="240" w:lineRule="auto"/>
        <w:rPr>
          <w:rFonts w:eastAsia="SimSun" w:cs="Times New Roman"/>
          <w:bCs/>
          <w:lang w:val="en-US" w:eastAsia="zh-CN"/>
        </w:rPr>
      </w:pPr>
      <w:r w:rsidRPr="00144213">
        <w:rPr>
          <w:rFonts w:eastAsia="SimSun" w:cs="Times New Roman"/>
          <w:bCs/>
          <w:lang w:val="en-US" w:eastAsia="zh-CN"/>
        </w:rPr>
        <w:t>Access Info Europe</w:t>
      </w:r>
      <w:r>
        <w:rPr>
          <w:rFonts w:eastAsia="SimSun" w:cs="Times New Roman"/>
          <w:bCs/>
          <w:lang w:val="en-US" w:eastAsia="zh-CN"/>
        </w:rPr>
        <w:t xml:space="preserve"> (</w:t>
      </w:r>
      <w:r w:rsidRPr="00912AD8">
        <w:rPr>
          <w:rFonts w:eastAsia="SimSun" w:cs="Times New Roman"/>
          <w:bCs/>
          <w:lang w:val="en-US" w:eastAsia="zh-CN"/>
        </w:rPr>
        <w:t>Helen Darbishire</w:t>
      </w:r>
      <w:r>
        <w:rPr>
          <w:rFonts w:eastAsia="SimSun" w:cs="Times New Roman"/>
          <w:bCs/>
          <w:lang w:val="en-US" w:eastAsia="zh-CN"/>
        </w:rPr>
        <w:t>)</w:t>
      </w:r>
    </w:p>
    <w:p w:rsidR="002048B5" w:rsidRPr="00144213" w:rsidRDefault="002048B5" w:rsidP="002048B5">
      <w:pPr>
        <w:pStyle w:val="ListParagraph"/>
        <w:numPr>
          <w:ilvl w:val="0"/>
          <w:numId w:val="13"/>
        </w:numPr>
        <w:pBdr>
          <w:top w:val="nil"/>
          <w:left w:val="nil"/>
          <w:bottom w:val="nil"/>
          <w:right w:val="nil"/>
          <w:between w:val="nil"/>
          <w:bar w:val="nil"/>
        </w:pBdr>
        <w:spacing w:after="0" w:line="240" w:lineRule="auto"/>
        <w:rPr>
          <w:rFonts w:eastAsia="SimSun" w:cs="Times New Roman"/>
          <w:bCs/>
          <w:lang w:val="en-US" w:eastAsia="zh-CN"/>
        </w:rPr>
      </w:pPr>
      <w:r w:rsidRPr="00144213">
        <w:rPr>
          <w:rFonts w:eastAsia="SimSun" w:cs="Times New Roman"/>
          <w:bCs/>
          <w:lang w:val="en-US" w:eastAsia="zh-CN"/>
        </w:rPr>
        <w:t>Centre for Law and Democracy</w:t>
      </w:r>
      <w:r>
        <w:rPr>
          <w:rFonts w:eastAsia="SimSun" w:cs="Times New Roman"/>
          <w:bCs/>
          <w:lang w:val="en-US" w:eastAsia="zh-CN"/>
        </w:rPr>
        <w:t xml:space="preserve"> (Toby Mendel)</w:t>
      </w:r>
    </w:p>
    <w:p w:rsidR="002048B5" w:rsidRPr="00144213" w:rsidRDefault="002048B5" w:rsidP="002048B5">
      <w:pPr>
        <w:pStyle w:val="ListParagraph"/>
        <w:numPr>
          <w:ilvl w:val="0"/>
          <w:numId w:val="13"/>
        </w:numPr>
        <w:pBdr>
          <w:top w:val="nil"/>
          <w:left w:val="nil"/>
          <w:bottom w:val="nil"/>
          <w:right w:val="nil"/>
          <w:between w:val="nil"/>
          <w:bar w:val="nil"/>
        </w:pBdr>
        <w:spacing w:after="0" w:line="240" w:lineRule="auto"/>
        <w:rPr>
          <w:rFonts w:eastAsia="SimSun" w:cs="Times New Roman"/>
          <w:bCs/>
          <w:lang w:val="en-US" w:eastAsia="zh-CN"/>
        </w:rPr>
      </w:pPr>
      <w:r w:rsidRPr="00144213">
        <w:rPr>
          <w:rFonts w:eastAsia="SimSun" w:cs="Times New Roman"/>
          <w:bCs/>
          <w:lang w:val="en-US" w:eastAsia="zh-CN"/>
        </w:rPr>
        <w:t>The Carter Center</w:t>
      </w:r>
      <w:r>
        <w:rPr>
          <w:rFonts w:eastAsia="SimSun" w:cs="Times New Roman"/>
          <w:bCs/>
          <w:lang w:val="en-US" w:eastAsia="zh-CN"/>
        </w:rPr>
        <w:t xml:space="preserve"> (</w:t>
      </w:r>
      <w:r w:rsidRPr="00912AD8">
        <w:rPr>
          <w:rFonts w:eastAsia="SimSun" w:cs="Times New Roman"/>
          <w:bCs/>
          <w:lang w:val="en-US" w:eastAsia="zh-CN"/>
        </w:rPr>
        <w:t>Laura Neuman</w:t>
      </w:r>
      <w:r>
        <w:rPr>
          <w:rFonts w:eastAsia="SimSun" w:cs="Times New Roman"/>
          <w:bCs/>
          <w:lang w:val="en-US" w:eastAsia="zh-CN"/>
        </w:rPr>
        <w:t>)</w:t>
      </w:r>
    </w:p>
    <w:p w:rsidR="002048B5" w:rsidRDefault="002048B5" w:rsidP="002048B5">
      <w:pPr>
        <w:pStyle w:val="ListParagraph"/>
        <w:numPr>
          <w:ilvl w:val="0"/>
          <w:numId w:val="13"/>
        </w:numPr>
        <w:pBdr>
          <w:top w:val="nil"/>
          <w:left w:val="nil"/>
          <w:bottom w:val="nil"/>
          <w:right w:val="nil"/>
          <w:between w:val="nil"/>
          <w:bar w:val="nil"/>
        </w:pBdr>
        <w:spacing w:after="0" w:line="240" w:lineRule="auto"/>
        <w:rPr>
          <w:rFonts w:eastAsia="SimSun" w:cs="Times New Roman"/>
          <w:bCs/>
          <w:lang w:val="en-US" w:eastAsia="zh-CN"/>
        </w:rPr>
      </w:pPr>
      <w:r w:rsidRPr="00144213">
        <w:rPr>
          <w:rFonts w:eastAsia="SimSun" w:cs="Times New Roman"/>
          <w:bCs/>
          <w:lang w:val="en-US" w:eastAsia="zh-CN"/>
        </w:rPr>
        <w:t xml:space="preserve">Africa Freedom of Information Centre </w:t>
      </w:r>
      <w:r>
        <w:rPr>
          <w:rFonts w:eastAsia="SimSun" w:cs="Times New Roman"/>
          <w:bCs/>
          <w:lang w:val="en-US" w:eastAsia="zh-CN"/>
        </w:rPr>
        <w:t>(</w:t>
      </w:r>
      <w:r w:rsidRPr="00912AD8">
        <w:rPr>
          <w:rFonts w:eastAsia="SimSun" w:cs="Times New Roman"/>
          <w:bCs/>
          <w:lang w:val="en-US" w:eastAsia="zh-CN"/>
        </w:rPr>
        <w:t>Gilbert Ronald Sendugwa</w:t>
      </w:r>
      <w:r>
        <w:rPr>
          <w:rFonts w:eastAsia="SimSun" w:cs="Times New Roman"/>
          <w:bCs/>
          <w:lang w:val="en-US" w:eastAsia="zh-CN"/>
        </w:rPr>
        <w:t>)</w:t>
      </w:r>
    </w:p>
    <w:p w:rsidR="002048B5" w:rsidRPr="00912AD8" w:rsidRDefault="002048B5" w:rsidP="002048B5">
      <w:pPr>
        <w:pStyle w:val="ListParagraph"/>
        <w:numPr>
          <w:ilvl w:val="0"/>
          <w:numId w:val="13"/>
        </w:numPr>
        <w:pBdr>
          <w:top w:val="nil"/>
          <w:left w:val="nil"/>
          <w:bottom w:val="nil"/>
          <w:right w:val="nil"/>
          <w:between w:val="nil"/>
          <w:bar w:val="nil"/>
        </w:pBdr>
        <w:spacing w:after="0" w:line="240" w:lineRule="auto"/>
        <w:rPr>
          <w:rFonts w:eastAsia="SimSun" w:cs="Times New Roman"/>
          <w:bCs/>
          <w:lang w:val="en-US" w:eastAsia="zh-CN"/>
        </w:rPr>
      </w:pPr>
      <w:r w:rsidRPr="00144213">
        <w:rPr>
          <w:rFonts w:eastAsia="SimSun" w:cs="Times New Roman"/>
          <w:bCs/>
          <w:lang w:val="en-US" w:eastAsia="zh-CN"/>
        </w:rPr>
        <w:t xml:space="preserve">Global Forum for Media Development </w:t>
      </w:r>
      <w:r>
        <w:rPr>
          <w:rFonts w:eastAsia="SimSun" w:cs="Times New Roman"/>
          <w:bCs/>
          <w:lang w:val="en-US" w:eastAsia="zh-CN"/>
        </w:rPr>
        <w:t xml:space="preserve"> (Leon Willems, </w:t>
      </w:r>
      <w:r w:rsidRPr="00912AD8">
        <w:rPr>
          <w:rFonts w:eastAsia="SimSun" w:cs="Times New Roman"/>
          <w:bCs/>
          <w:lang w:val="en-US" w:eastAsia="zh-CN"/>
        </w:rPr>
        <w:t>Mira Markovic</w:t>
      </w:r>
      <w:r>
        <w:rPr>
          <w:rFonts w:eastAsia="SimSun" w:cs="Times New Roman"/>
          <w:bCs/>
          <w:lang w:val="en-US" w:eastAsia="zh-CN"/>
        </w:rPr>
        <w:t>)</w:t>
      </w:r>
    </w:p>
    <w:p w:rsidR="002048B5" w:rsidRPr="00912AD8" w:rsidRDefault="002048B5" w:rsidP="002048B5">
      <w:pPr>
        <w:pStyle w:val="ListParagraph"/>
        <w:numPr>
          <w:ilvl w:val="0"/>
          <w:numId w:val="13"/>
        </w:numPr>
        <w:pBdr>
          <w:top w:val="nil"/>
          <w:left w:val="nil"/>
          <w:bottom w:val="nil"/>
          <w:right w:val="nil"/>
          <w:between w:val="nil"/>
          <w:bar w:val="nil"/>
        </w:pBdr>
        <w:spacing w:after="0" w:line="240" w:lineRule="auto"/>
        <w:rPr>
          <w:rFonts w:eastAsia="SimSun" w:cs="Times New Roman"/>
          <w:bCs/>
          <w:lang w:val="en-US" w:eastAsia="zh-CN"/>
        </w:rPr>
      </w:pPr>
      <w:r w:rsidRPr="00144213">
        <w:rPr>
          <w:rFonts w:eastAsia="SimSun" w:cs="Times New Roman"/>
          <w:bCs/>
          <w:lang w:val="en-US" w:eastAsia="zh-CN"/>
        </w:rPr>
        <w:t>Article 19</w:t>
      </w:r>
      <w:r>
        <w:rPr>
          <w:rFonts w:eastAsia="SimSun" w:cs="Times New Roman"/>
          <w:bCs/>
          <w:lang w:val="en-US" w:eastAsia="zh-CN"/>
        </w:rPr>
        <w:t xml:space="preserve"> (</w:t>
      </w:r>
      <w:r w:rsidRPr="00912AD8">
        <w:rPr>
          <w:rFonts w:eastAsia="SimSun" w:cs="Times New Roman"/>
          <w:bCs/>
          <w:lang w:val="en-US" w:eastAsia="zh-CN"/>
        </w:rPr>
        <w:t>David Banisar</w:t>
      </w:r>
      <w:r>
        <w:rPr>
          <w:rFonts w:eastAsia="SimSun" w:cs="Times New Roman"/>
          <w:bCs/>
          <w:lang w:val="en-US" w:eastAsia="zh-CN"/>
        </w:rPr>
        <w:t xml:space="preserve">, </w:t>
      </w:r>
      <w:r w:rsidRPr="00912AD8">
        <w:rPr>
          <w:rFonts w:eastAsia="SimSun" w:cs="Times New Roman"/>
          <w:bCs/>
          <w:lang w:val="en-US" w:eastAsia="zh-CN"/>
        </w:rPr>
        <w:t>Paula Martins</w:t>
      </w:r>
      <w:r>
        <w:rPr>
          <w:rFonts w:eastAsia="SimSun" w:cs="Times New Roman"/>
          <w:bCs/>
          <w:lang w:val="en-US" w:eastAsia="zh-CN"/>
        </w:rPr>
        <w:t>)</w:t>
      </w:r>
    </w:p>
    <w:p w:rsidR="002048B5" w:rsidRPr="00144213" w:rsidRDefault="002048B5" w:rsidP="002048B5">
      <w:pPr>
        <w:pStyle w:val="ListParagraph"/>
        <w:numPr>
          <w:ilvl w:val="0"/>
          <w:numId w:val="13"/>
        </w:numPr>
        <w:pBdr>
          <w:top w:val="nil"/>
          <w:left w:val="nil"/>
          <w:bottom w:val="nil"/>
          <w:right w:val="nil"/>
          <w:between w:val="nil"/>
          <w:bar w:val="nil"/>
        </w:pBdr>
        <w:spacing w:after="0" w:line="240" w:lineRule="auto"/>
        <w:rPr>
          <w:rFonts w:eastAsia="SimSun" w:cs="Times New Roman"/>
          <w:bCs/>
          <w:lang w:val="en-US" w:eastAsia="zh-CN"/>
        </w:rPr>
      </w:pPr>
      <w:r w:rsidRPr="00144213">
        <w:rPr>
          <w:rFonts w:eastAsia="SimSun" w:cs="Times New Roman"/>
          <w:bCs/>
          <w:lang w:val="en-US" w:eastAsia="zh-CN"/>
        </w:rPr>
        <w:t xml:space="preserve">International Federation of Library Associations and Institutions </w:t>
      </w:r>
      <w:r>
        <w:rPr>
          <w:rFonts w:eastAsia="SimSun" w:cs="Times New Roman"/>
          <w:bCs/>
          <w:lang w:val="en-US" w:eastAsia="zh-CN"/>
        </w:rPr>
        <w:t>(</w:t>
      </w:r>
      <w:r w:rsidRPr="00912AD8">
        <w:rPr>
          <w:rFonts w:eastAsia="SimSun" w:cs="Times New Roman"/>
          <w:bCs/>
          <w:lang w:val="en-US" w:eastAsia="zh-CN"/>
        </w:rPr>
        <w:t>Stephen Wyber</w:t>
      </w:r>
      <w:r>
        <w:rPr>
          <w:rFonts w:eastAsia="SimSun" w:cs="Times New Roman"/>
          <w:bCs/>
          <w:lang w:val="en-US" w:eastAsia="zh-CN"/>
        </w:rPr>
        <w:t>)</w:t>
      </w:r>
    </w:p>
    <w:p w:rsidR="002048B5" w:rsidRPr="00144213" w:rsidRDefault="002048B5" w:rsidP="002048B5">
      <w:pPr>
        <w:pStyle w:val="ListParagraph"/>
        <w:numPr>
          <w:ilvl w:val="0"/>
          <w:numId w:val="13"/>
        </w:numPr>
        <w:pBdr>
          <w:top w:val="nil"/>
          <w:left w:val="nil"/>
          <w:bottom w:val="nil"/>
          <w:right w:val="nil"/>
          <w:between w:val="nil"/>
          <w:bar w:val="nil"/>
        </w:pBdr>
        <w:spacing w:after="0" w:line="240" w:lineRule="auto"/>
        <w:rPr>
          <w:rFonts w:eastAsia="SimSun" w:cs="Times New Roman"/>
          <w:bCs/>
          <w:lang w:val="en-US" w:eastAsia="zh-CN"/>
        </w:rPr>
      </w:pPr>
      <w:r w:rsidRPr="00144213">
        <w:rPr>
          <w:rFonts w:eastAsia="SimSun" w:cs="Times New Roman"/>
          <w:bCs/>
          <w:lang w:val="en-US" w:eastAsia="zh-CN"/>
        </w:rPr>
        <w:t>Fundamedios</w:t>
      </w:r>
      <w:r>
        <w:rPr>
          <w:rFonts w:eastAsia="SimSun" w:cs="Times New Roman"/>
          <w:bCs/>
          <w:lang w:val="en-US" w:eastAsia="zh-CN"/>
        </w:rPr>
        <w:t xml:space="preserve"> (</w:t>
      </w:r>
      <w:r w:rsidRPr="00912AD8">
        <w:rPr>
          <w:rFonts w:eastAsia="SimSun" w:cs="Times New Roman"/>
          <w:bCs/>
          <w:lang w:val="en-US" w:eastAsia="zh-CN"/>
        </w:rPr>
        <w:t>Cesar Ricaurte</w:t>
      </w:r>
      <w:r>
        <w:rPr>
          <w:rFonts w:eastAsia="SimSun" w:cs="Times New Roman"/>
          <w:bCs/>
          <w:lang w:val="en-US" w:eastAsia="zh-CN"/>
        </w:rPr>
        <w:t>)</w:t>
      </w:r>
    </w:p>
    <w:p w:rsidR="002048B5" w:rsidRPr="00144213" w:rsidRDefault="002048B5" w:rsidP="002048B5">
      <w:pPr>
        <w:pStyle w:val="ListParagraph"/>
        <w:numPr>
          <w:ilvl w:val="0"/>
          <w:numId w:val="13"/>
        </w:numPr>
        <w:pBdr>
          <w:top w:val="nil"/>
          <w:left w:val="nil"/>
          <w:bottom w:val="nil"/>
          <w:right w:val="nil"/>
          <w:between w:val="nil"/>
          <w:bar w:val="nil"/>
        </w:pBdr>
        <w:spacing w:after="0" w:line="240" w:lineRule="auto"/>
        <w:rPr>
          <w:rFonts w:eastAsia="SimSun" w:cs="Times New Roman"/>
          <w:bCs/>
          <w:lang w:val="en-US" w:eastAsia="zh-CN"/>
        </w:rPr>
      </w:pPr>
      <w:r>
        <w:rPr>
          <w:rFonts w:eastAsia="SimSun" w:cs="Times New Roman"/>
          <w:bCs/>
          <w:lang w:val="en-US" w:eastAsia="zh-CN"/>
        </w:rPr>
        <w:t xml:space="preserve">RTA - </w:t>
      </w:r>
      <w:r w:rsidRPr="00144213">
        <w:rPr>
          <w:rFonts w:eastAsia="SimSun" w:cs="Times New Roman"/>
          <w:bCs/>
          <w:lang w:val="en-US" w:eastAsia="zh-CN"/>
        </w:rPr>
        <w:t>the Latin American Network</w:t>
      </w:r>
      <w:r>
        <w:rPr>
          <w:rFonts w:eastAsia="SimSun" w:cs="Times New Roman"/>
          <w:bCs/>
          <w:lang w:val="en-US" w:eastAsia="zh-CN"/>
        </w:rPr>
        <w:t xml:space="preserve"> of Informational Commissioners (</w:t>
      </w:r>
      <w:r w:rsidRPr="00912AD8">
        <w:rPr>
          <w:rFonts w:eastAsia="SimSun" w:cs="Times New Roman"/>
          <w:bCs/>
          <w:lang w:val="en-US" w:eastAsia="zh-CN"/>
        </w:rPr>
        <w:t>Gabriel Del Piazzo</w:t>
      </w:r>
      <w:r>
        <w:rPr>
          <w:rFonts w:eastAsia="SimSun" w:cs="Times New Roman"/>
          <w:bCs/>
          <w:lang w:val="en-US" w:eastAsia="zh-CN"/>
        </w:rPr>
        <w:t>)</w:t>
      </w:r>
    </w:p>
    <w:p w:rsidR="002048B5" w:rsidRPr="00144213" w:rsidRDefault="002048B5" w:rsidP="002048B5">
      <w:pPr>
        <w:pStyle w:val="ListParagraph"/>
        <w:numPr>
          <w:ilvl w:val="0"/>
          <w:numId w:val="13"/>
        </w:numPr>
        <w:pBdr>
          <w:top w:val="nil"/>
          <w:left w:val="nil"/>
          <w:bottom w:val="nil"/>
          <w:right w:val="nil"/>
          <w:between w:val="nil"/>
          <w:bar w:val="nil"/>
        </w:pBdr>
        <w:spacing w:after="0" w:line="240" w:lineRule="auto"/>
        <w:rPr>
          <w:rFonts w:eastAsia="SimSun" w:cs="Times New Roman"/>
          <w:bCs/>
          <w:lang w:val="en-US" w:eastAsia="zh-CN"/>
        </w:rPr>
      </w:pPr>
      <w:r w:rsidRPr="00144213">
        <w:rPr>
          <w:rFonts w:eastAsia="SimSun" w:cs="Times New Roman"/>
          <w:bCs/>
          <w:lang w:val="en-US" w:eastAsia="zh-CN"/>
        </w:rPr>
        <w:t xml:space="preserve">Global Open Data Index </w:t>
      </w:r>
      <w:r>
        <w:rPr>
          <w:rFonts w:eastAsia="SimSun" w:cs="Times New Roman"/>
          <w:bCs/>
          <w:lang w:val="en-US" w:eastAsia="zh-CN"/>
        </w:rPr>
        <w:t>(</w:t>
      </w:r>
      <w:r w:rsidRPr="00912AD8">
        <w:rPr>
          <w:rFonts w:eastAsia="SimSun" w:cs="Times New Roman"/>
          <w:bCs/>
          <w:lang w:val="en-US" w:eastAsia="zh-CN"/>
        </w:rPr>
        <w:t>Katelyn Rogers</w:t>
      </w:r>
      <w:r>
        <w:rPr>
          <w:rFonts w:eastAsia="SimSun" w:cs="Times New Roman"/>
          <w:bCs/>
          <w:lang w:val="en-US" w:eastAsia="zh-CN"/>
        </w:rPr>
        <w:t>)</w:t>
      </w:r>
    </w:p>
    <w:p w:rsidR="002048B5" w:rsidRPr="00144213" w:rsidRDefault="002048B5" w:rsidP="002048B5">
      <w:pPr>
        <w:pStyle w:val="ListParagraph"/>
        <w:numPr>
          <w:ilvl w:val="0"/>
          <w:numId w:val="13"/>
        </w:numPr>
        <w:pBdr>
          <w:top w:val="nil"/>
          <w:left w:val="nil"/>
          <w:bottom w:val="nil"/>
          <w:right w:val="nil"/>
          <w:between w:val="nil"/>
          <w:bar w:val="nil"/>
        </w:pBdr>
        <w:spacing w:after="0" w:line="240" w:lineRule="auto"/>
        <w:rPr>
          <w:rFonts w:eastAsia="SimSun" w:cs="Times New Roman"/>
          <w:bCs/>
          <w:lang w:val="en-US" w:eastAsia="zh-CN"/>
        </w:rPr>
      </w:pPr>
      <w:r w:rsidRPr="00144213">
        <w:rPr>
          <w:rFonts w:eastAsia="SimSun" w:cs="Times New Roman"/>
          <w:bCs/>
          <w:lang w:val="en-US" w:eastAsia="zh-CN"/>
        </w:rPr>
        <w:t xml:space="preserve">Global Investigative Journalists Network </w:t>
      </w:r>
      <w:r>
        <w:rPr>
          <w:rFonts w:eastAsia="SimSun" w:cs="Times New Roman"/>
          <w:bCs/>
          <w:lang w:val="en-US" w:eastAsia="zh-CN"/>
        </w:rPr>
        <w:t>(</w:t>
      </w:r>
      <w:r w:rsidRPr="00912AD8">
        <w:rPr>
          <w:rFonts w:eastAsia="SimSun" w:cs="Times New Roman"/>
          <w:bCs/>
          <w:lang w:val="en-US" w:eastAsia="zh-CN"/>
        </w:rPr>
        <w:t>Marthe Rubio</w:t>
      </w:r>
      <w:r>
        <w:rPr>
          <w:rFonts w:eastAsia="SimSun" w:cs="Times New Roman"/>
          <w:bCs/>
          <w:lang w:val="en-US" w:eastAsia="zh-CN"/>
        </w:rPr>
        <w:t>)</w:t>
      </w:r>
    </w:p>
    <w:p w:rsidR="002048B5" w:rsidRPr="00144213" w:rsidRDefault="002048B5" w:rsidP="002048B5">
      <w:pPr>
        <w:pStyle w:val="ListParagraph"/>
        <w:numPr>
          <w:ilvl w:val="0"/>
          <w:numId w:val="13"/>
        </w:numPr>
        <w:pBdr>
          <w:top w:val="nil"/>
          <w:left w:val="nil"/>
          <w:bottom w:val="nil"/>
          <w:right w:val="nil"/>
          <w:between w:val="nil"/>
          <w:bar w:val="nil"/>
        </w:pBdr>
        <w:spacing w:after="0" w:line="240" w:lineRule="auto"/>
        <w:rPr>
          <w:rFonts w:eastAsia="SimSun" w:cs="Times New Roman"/>
          <w:bCs/>
          <w:lang w:val="en-US" w:eastAsia="zh-CN"/>
        </w:rPr>
      </w:pPr>
      <w:r w:rsidRPr="00144213">
        <w:rPr>
          <w:rFonts w:eastAsia="SimSun" w:cs="Times New Roman"/>
          <w:bCs/>
          <w:lang w:val="en-US" w:eastAsia="zh-CN"/>
        </w:rPr>
        <w:t>World Justice Project</w:t>
      </w:r>
      <w:r>
        <w:rPr>
          <w:rFonts w:eastAsia="SimSun" w:cs="Times New Roman"/>
          <w:bCs/>
          <w:lang w:val="en-US" w:eastAsia="zh-CN"/>
        </w:rPr>
        <w:t xml:space="preserve"> (</w:t>
      </w:r>
      <w:r w:rsidRPr="00912AD8">
        <w:rPr>
          <w:rFonts w:eastAsia="SimSun" w:cs="Times New Roman"/>
          <w:bCs/>
          <w:lang w:val="en-US" w:eastAsia="zh-CN"/>
        </w:rPr>
        <w:t>Elizabeth Andersen</w:t>
      </w:r>
      <w:r>
        <w:rPr>
          <w:rFonts w:eastAsia="SimSun" w:cs="Times New Roman"/>
          <w:bCs/>
          <w:lang w:val="en-US" w:eastAsia="zh-CN"/>
        </w:rPr>
        <w:t>)</w:t>
      </w:r>
    </w:p>
    <w:p w:rsidR="002048B5" w:rsidRDefault="002048B5" w:rsidP="002048B5">
      <w:pPr>
        <w:pStyle w:val="ListParagraph"/>
        <w:numPr>
          <w:ilvl w:val="0"/>
          <w:numId w:val="13"/>
        </w:numPr>
        <w:pBdr>
          <w:top w:val="nil"/>
          <w:left w:val="nil"/>
          <w:bottom w:val="nil"/>
          <w:right w:val="nil"/>
          <w:between w:val="nil"/>
          <w:bar w:val="nil"/>
        </w:pBdr>
        <w:spacing w:after="0" w:line="240" w:lineRule="auto"/>
        <w:rPr>
          <w:rFonts w:eastAsia="SimSun" w:cs="Times New Roman"/>
          <w:bCs/>
          <w:lang w:val="en-US" w:eastAsia="zh-CN"/>
        </w:rPr>
      </w:pPr>
      <w:r>
        <w:rPr>
          <w:rFonts w:eastAsia="SimSun" w:cs="Times New Roman"/>
          <w:bCs/>
          <w:lang w:val="en-US" w:eastAsia="zh-CN"/>
        </w:rPr>
        <w:t>IFEX</w:t>
      </w:r>
      <w:r w:rsidRPr="00144213">
        <w:rPr>
          <w:rFonts w:eastAsia="SimSun" w:cs="Times New Roman"/>
          <w:bCs/>
          <w:lang w:val="en-US" w:eastAsia="zh-CN"/>
        </w:rPr>
        <w:t xml:space="preserve"> </w:t>
      </w:r>
      <w:r>
        <w:rPr>
          <w:rFonts w:eastAsia="SimSun" w:cs="Times New Roman"/>
          <w:bCs/>
          <w:lang w:val="en-US" w:eastAsia="zh-CN"/>
        </w:rPr>
        <w:t>(</w:t>
      </w:r>
      <w:r w:rsidRPr="00912AD8">
        <w:rPr>
          <w:rFonts w:eastAsia="SimSun" w:cs="Times New Roman"/>
          <w:bCs/>
          <w:lang w:val="en-US" w:eastAsia="zh-CN"/>
        </w:rPr>
        <w:t>Silvia Chocarro</w:t>
      </w:r>
      <w:r>
        <w:rPr>
          <w:rFonts w:eastAsia="SimSun" w:cs="Times New Roman"/>
          <w:bCs/>
          <w:lang w:val="en-US" w:eastAsia="zh-CN"/>
        </w:rPr>
        <w:t>)</w:t>
      </w:r>
    </w:p>
    <w:p w:rsidR="002048B5" w:rsidRPr="00144213" w:rsidRDefault="002048B5" w:rsidP="002048B5">
      <w:pPr>
        <w:pStyle w:val="ListParagraph"/>
        <w:numPr>
          <w:ilvl w:val="0"/>
          <w:numId w:val="13"/>
        </w:numPr>
        <w:pBdr>
          <w:top w:val="nil"/>
          <w:left w:val="nil"/>
          <w:bottom w:val="nil"/>
          <w:right w:val="nil"/>
          <w:between w:val="nil"/>
          <w:bar w:val="nil"/>
        </w:pBdr>
        <w:spacing w:after="0" w:line="240" w:lineRule="auto"/>
        <w:rPr>
          <w:rFonts w:eastAsia="SimSun" w:cs="Times New Roman"/>
          <w:bCs/>
          <w:lang w:val="en-US" w:eastAsia="zh-CN"/>
        </w:rPr>
      </w:pPr>
      <w:r w:rsidRPr="00144213">
        <w:rPr>
          <w:rFonts w:eastAsia="SimSun" w:cs="Times New Roman"/>
          <w:bCs/>
          <w:lang w:val="en-US" w:eastAsia="zh-CN"/>
        </w:rPr>
        <w:t>GIZ</w:t>
      </w:r>
      <w:r>
        <w:rPr>
          <w:rFonts w:eastAsia="SimSun" w:cs="Times New Roman"/>
          <w:bCs/>
          <w:lang w:val="en-US" w:eastAsia="zh-CN"/>
        </w:rPr>
        <w:t xml:space="preserve"> </w:t>
      </w:r>
    </w:p>
    <w:p w:rsidR="002048B5" w:rsidRDefault="002048B5" w:rsidP="002048B5">
      <w:pPr>
        <w:pStyle w:val="ListParagraph"/>
        <w:numPr>
          <w:ilvl w:val="0"/>
          <w:numId w:val="13"/>
        </w:numPr>
        <w:pBdr>
          <w:top w:val="nil"/>
          <w:left w:val="nil"/>
          <w:bottom w:val="nil"/>
          <w:right w:val="nil"/>
          <w:between w:val="nil"/>
          <w:bar w:val="nil"/>
        </w:pBdr>
        <w:spacing w:after="0" w:line="240" w:lineRule="auto"/>
        <w:rPr>
          <w:rFonts w:eastAsia="SimSun" w:cs="Times New Roman"/>
          <w:bCs/>
          <w:lang w:val="en-US" w:eastAsia="zh-CN"/>
        </w:rPr>
      </w:pPr>
      <w:r w:rsidRPr="00144213">
        <w:rPr>
          <w:rFonts w:eastAsia="SimSun" w:cs="Times New Roman"/>
          <w:bCs/>
          <w:lang w:val="en-US" w:eastAsia="zh-CN"/>
        </w:rPr>
        <w:t>Information Commissioners International Exchange Network (ICIEN)</w:t>
      </w:r>
    </w:p>
    <w:p w:rsidR="002048B5" w:rsidRPr="00912AD8" w:rsidRDefault="002048B5" w:rsidP="002048B5">
      <w:pPr>
        <w:pBdr>
          <w:top w:val="nil"/>
          <w:left w:val="nil"/>
          <w:bottom w:val="nil"/>
          <w:right w:val="nil"/>
          <w:between w:val="nil"/>
          <w:bar w:val="nil"/>
        </w:pBdr>
        <w:spacing w:after="0" w:line="240" w:lineRule="auto"/>
        <w:ind w:left="360"/>
        <w:rPr>
          <w:rFonts w:eastAsia="SimSun" w:cs="Times New Roman"/>
          <w:bCs/>
          <w:lang w:val="en-US" w:eastAsia="zh-CN"/>
        </w:rPr>
      </w:pPr>
    </w:p>
    <w:p w:rsidR="002048B5" w:rsidRDefault="002048B5" w:rsidP="002048B5">
      <w:pPr>
        <w:rPr>
          <w:rFonts w:eastAsia="SimSun" w:cs="Times New Roman"/>
          <w:bCs/>
          <w:lang w:val="en-US" w:eastAsia="zh-CN"/>
        </w:rPr>
      </w:pPr>
      <w:r>
        <w:rPr>
          <w:rFonts w:eastAsia="SimSun" w:cs="Times New Roman"/>
          <w:bCs/>
          <w:lang w:val="en-US" w:eastAsia="zh-CN"/>
        </w:rPr>
        <w:br w:type="page"/>
      </w:r>
    </w:p>
    <w:p w:rsidR="00C17386" w:rsidRDefault="005B3A2A" w:rsidP="003173B5">
      <w:pPr>
        <w:pBdr>
          <w:top w:val="nil"/>
          <w:left w:val="nil"/>
          <w:bottom w:val="nil"/>
          <w:right w:val="nil"/>
          <w:between w:val="nil"/>
          <w:bar w:val="nil"/>
        </w:pBdr>
        <w:spacing w:after="0" w:line="240" w:lineRule="auto"/>
        <w:rPr>
          <w:lang w:val="en-US"/>
        </w:rPr>
      </w:pPr>
      <w:r w:rsidRPr="007477D1">
        <w:rPr>
          <w:rFonts w:eastAsia="SimSun" w:cs="Times New Roman"/>
          <w:b/>
          <w:bCs/>
          <w:sz w:val="24"/>
          <w:lang w:val="en-US" w:eastAsia="zh-CN"/>
        </w:rPr>
        <w:lastRenderedPageBreak/>
        <w:t>APPENDIX 1: METADATA FOR 16.10.2</w:t>
      </w:r>
      <w:r w:rsidR="00C17386">
        <w:rPr>
          <w:rStyle w:val="FootnoteReference"/>
          <w:lang w:val="en-US"/>
        </w:rPr>
        <w:footnoteReference w:id="16"/>
      </w:r>
      <w:r w:rsidR="00C17386" w:rsidRPr="007477D1">
        <w:rPr>
          <w:lang w:val="en-US"/>
        </w:rPr>
        <w:t xml:space="preserve"> </w:t>
      </w:r>
    </w:p>
    <w:p w:rsidR="00C17386" w:rsidRDefault="00C17386" w:rsidP="003173B5">
      <w:pPr>
        <w:pBdr>
          <w:top w:val="nil"/>
          <w:left w:val="nil"/>
          <w:bottom w:val="nil"/>
          <w:right w:val="nil"/>
          <w:between w:val="nil"/>
          <w:bar w:val="nil"/>
        </w:pBdr>
        <w:spacing w:after="0" w:line="240" w:lineRule="auto"/>
        <w:rPr>
          <w:lang w:val="en-US"/>
        </w:rPr>
      </w:pPr>
    </w:p>
    <w:p w:rsidR="00C17386" w:rsidRPr="007477D1" w:rsidRDefault="00C17386" w:rsidP="003173B5">
      <w:pPr>
        <w:pBdr>
          <w:top w:val="nil"/>
          <w:left w:val="nil"/>
          <w:bottom w:val="nil"/>
          <w:right w:val="nil"/>
          <w:between w:val="nil"/>
          <w:bar w:val="nil"/>
        </w:pBdr>
        <w:spacing w:after="0" w:line="240" w:lineRule="auto"/>
        <w:rPr>
          <w:rFonts w:eastAsia="SimSun" w:cs="Times New Roman"/>
          <w:bCs/>
          <w:lang w:val="en-US" w:eastAsia="zh-CN"/>
        </w:rPr>
      </w:pPr>
      <w:r>
        <w:rPr>
          <w:lang w:val="en-US"/>
        </w:rPr>
        <w:t xml:space="preserve">This </w:t>
      </w:r>
      <w:r w:rsidRPr="007477D1">
        <w:rPr>
          <w:lang w:val="en-US"/>
        </w:rPr>
        <w:t>elaborates that this indicator tracks:</w:t>
      </w:r>
    </w:p>
    <w:p w:rsidR="00C17386" w:rsidRPr="00555FA9" w:rsidRDefault="00C17386" w:rsidP="003173B5">
      <w:pPr>
        <w:ind w:left="1080"/>
        <w:rPr>
          <w:lang w:val="en-US"/>
        </w:rPr>
      </w:pPr>
      <w:r w:rsidRPr="00555FA9">
        <w:rPr>
          <w:lang w:val="en-US"/>
        </w:rPr>
        <w:t>(a) whether a country (or at the global level, the number of countries) has constitutional, statutory and/or policy guarantees for public access to information;</w:t>
      </w:r>
    </w:p>
    <w:p w:rsidR="00C17386" w:rsidRDefault="00C17386" w:rsidP="003173B5">
      <w:pPr>
        <w:ind w:left="1080"/>
        <w:rPr>
          <w:lang w:val="en-US"/>
        </w:rPr>
      </w:pPr>
      <w:r w:rsidRPr="00555FA9">
        <w:rPr>
          <w:lang w:val="en-US"/>
        </w:rPr>
        <w:t xml:space="preserve"> (b) the extent to which such national guarantees reflect ‘international agreements’ (e.g. Universal Declaration of Human Rights, etc.); and </w:t>
      </w:r>
    </w:p>
    <w:p w:rsidR="00C17386" w:rsidRPr="00555FA9" w:rsidRDefault="00C17386" w:rsidP="003173B5">
      <w:pPr>
        <w:ind w:left="1080"/>
        <w:rPr>
          <w:lang w:val="en-US"/>
        </w:rPr>
      </w:pPr>
      <w:r w:rsidRPr="00555FA9">
        <w:rPr>
          <w:lang w:val="en-US"/>
        </w:rPr>
        <w:t xml:space="preserve">(c) the implementation mechanisms in place for such guarantees, including the following variables: </w:t>
      </w:r>
    </w:p>
    <w:p w:rsidR="00C17386" w:rsidRPr="00555FA9" w:rsidRDefault="00C17386" w:rsidP="003173B5">
      <w:pPr>
        <w:spacing w:after="0"/>
        <w:ind w:left="1080"/>
        <w:rPr>
          <w:lang w:val="en-US"/>
        </w:rPr>
      </w:pPr>
      <w:r w:rsidRPr="00555FA9">
        <w:rPr>
          <w:lang w:val="en-US"/>
        </w:rPr>
        <w:t xml:space="preserve">- Government efforts to publicly promote the right to information. </w:t>
      </w:r>
    </w:p>
    <w:p w:rsidR="00C17386" w:rsidRDefault="00C17386" w:rsidP="003173B5">
      <w:pPr>
        <w:spacing w:after="0"/>
        <w:ind w:left="1080"/>
        <w:rPr>
          <w:lang w:val="en-US"/>
        </w:rPr>
      </w:pPr>
      <w:r w:rsidRPr="00555FA9">
        <w:rPr>
          <w:lang w:val="en-US"/>
        </w:rPr>
        <w:t>- Citizens’ awareness of their legal right to information and their ability to utilize it effectively.</w:t>
      </w:r>
    </w:p>
    <w:p w:rsidR="00C17386" w:rsidRDefault="00C17386" w:rsidP="003173B5">
      <w:pPr>
        <w:spacing w:after="0"/>
        <w:ind w:left="1080"/>
        <w:rPr>
          <w:lang w:val="en-ZA"/>
        </w:rPr>
      </w:pPr>
      <w:r w:rsidRPr="0030688A">
        <w:rPr>
          <w:lang w:val="en-ZA"/>
        </w:rPr>
        <w:t xml:space="preserve">- The capacity of public bodies to provide information upon request by the public. </w:t>
      </w:r>
    </w:p>
    <w:p w:rsidR="007101AF" w:rsidRPr="0030688A" w:rsidRDefault="007101AF" w:rsidP="003173B5">
      <w:pPr>
        <w:spacing w:after="0"/>
        <w:ind w:left="1080"/>
        <w:rPr>
          <w:lang w:val="en-ZA"/>
        </w:rPr>
      </w:pPr>
    </w:p>
    <w:p w:rsidR="00C17386" w:rsidRPr="007477D1" w:rsidRDefault="00C17386" w:rsidP="003173B5">
      <w:pPr>
        <w:rPr>
          <w:lang w:val="en-US"/>
        </w:rPr>
      </w:pPr>
      <w:r w:rsidRPr="007477D1">
        <w:rPr>
          <w:lang w:val="en-US"/>
        </w:rPr>
        <w:t xml:space="preserve">According to the metadata, to assess the 3 key variables above, the following will serve as performance sub-indicators: </w:t>
      </w:r>
    </w:p>
    <w:p w:rsidR="00C17386" w:rsidRPr="00C04CC8" w:rsidRDefault="00C17386" w:rsidP="003173B5">
      <w:pPr>
        <w:spacing w:after="0"/>
        <w:ind w:left="360"/>
        <w:rPr>
          <w:lang w:val="en-US"/>
        </w:rPr>
      </w:pPr>
      <w:r w:rsidRPr="00C04CC8">
        <w:rPr>
          <w:lang w:val="en-US"/>
        </w:rPr>
        <w:t xml:space="preserve">- National law or constitutional guarantee on the right to information </w:t>
      </w:r>
    </w:p>
    <w:p w:rsidR="00C17386" w:rsidRPr="00C04CC8" w:rsidRDefault="00C17386" w:rsidP="003173B5">
      <w:pPr>
        <w:spacing w:after="0"/>
        <w:ind w:left="360"/>
        <w:rPr>
          <w:lang w:val="en-US"/>
        </w:rPr>
      </w:pPr>
      <w:r w:rsidRPr="00C04CC8">
        <w:rPr>
          <w:lang w:val="en-US"/>
        </w:rPr>
        <w:t xml:space="preserve">- Country has signed and ratified relevant treaty obligations, with no significant exemptions, and these are reflected, to the extent possible, in domestic FOI legislation </w:t>
      </w:r>
    </w:p>
    <w:p w:rsidR="00C17386" w:rsidRPr="00C04CC8" w:rsidRDefault="00C17386" w:rsidP="003173B5">
      <w:pPr>
        <w:spacing w:after="0"/>
        <w:ind w:left="360"/>
        <w:rPr>
          <w:lang w:val="en-US"/>
        </w:rPr>
      </w:pPr>
      <w:r w:rsidRPr="00C04CC8">
        <w:rPr>
          <w:lang w:val="en-US"/>
        </w:rPr>
        <w:t xml:space="preserve">- Public is aware of and exercises right to access official information </w:t>
      </w:r>
    </w:p>
    <w:p w:rsidR="00C17386" w:rsidRPr="00C04CC8" w:rsidRDefault="00C17386" w:rsidP="003173B5">
      <w:pPr>
        <w:spacing w:after="0"/>
        <w:ind w:left="360"/>
        <w:rPr>
          <w:lang w:val="en-US"/>
        </w:rPr>
      </w:pPr>
      <w:r w:rsidRPr="00C04CC8">
        <w:rPr>
          <w:lang w:val="en-US"/>
        </w:rPr>
        <w:t xml:space="preserve">- Public bodies release information both pro-actively and on demand </w:t>
      </w:r>
    </w:p>
    <w:p w:rsidR="00C17386" w:rsidRDefault="00C17386" w:rsidP="003173B5">
      <w:pPr>
        <w:spacing w:after="0"/>
        <w:ind w:left="360"/>
        <w:rPr>
          <w:lang w:val="en-US"/>
        </w:rPr>
      </w:pPr>
      <w:r w:rsidRPr="00C04CC8">
        <w:rPr>
          <w:lang w:val="en-US"/>
        </w:rPr>
        <w:t>- Effective and efficient appeals mechanism via independent administrative body e.g. information</w:t>
      </w:r>
      <w:r>
        <w:rPr>
          <w:lang w:val="en-US"/>
        </w:rPr>
        <w:t xml:space="preserve"> </w:t>
      </w:r>
      <w:r w:rsidRPr="00C04CC8">
        <w:rPr>
          <w:lang w:val="en-US"/>
        </w:rPr>
        <w:t xml:space="preserve">commissioner or ombudsman </w:t>
      </w:r>
    </w:p>
    <w:p w:rsidR="00C17386" w:rsidRPr="00C04CC8" w:rsidRDefault="00C17386" w:rsidP="003173B5">
      <w:pPr>
        <w:spacing w:after="0"/>
        <w:ind w:left="360"/>
        <w:rPr>
          <w:lang w:val="en-US"/>
        </w:rPr>
      </w:pPr>
      <w:r w:rsidRPr="00C04CC8">
        <w:rPr>
          <w:lang w:val="en-US"/>
        </w:rPr>
        <w:t xml:space="preserve">- Any restriction on grounds of protection of personal privacy is narrowly defined so as to exclude information in which there is no justifiable public interest.  </w:t>
      </w:r>
    </w:p>
    <w:p w:rsidR="00C17386" w:rsidRPr="00D914B0" w:rsidRDefault="00C17386" w:rsidP="003173B5">
      <w:pPr>
        <w:spacing w:after="0"/>
        <w:ind w:left="360"/>
        <w:rPr>
          <w:i/>
          <w:lang w:val="en-US"/>
        </w:rPr>
      </w:pPr>
      <w:r w:rsidRPr="00D914B0">
        <w:rPr>
          <w:i/>
          <w:lang w:val="en-US"/>
        </w:rPr>
        <w:t xml:space="preserve">The means of verification will include: </w:t>
      </w:r>
    </w:p>
    <w:p w:rsidR="00C17386" w:rsidRPr="00C04CC8" w:rsidRDefault="00C17386" w:rsidP="003173B5">
      <w:pPr>
        <w:spacing w:after="0"/>
        <w:ind w:left="360"/>
        <w:rPr>
          <w:lang w:val="en-US"/>
        </w:rPr>
      </w:pPr>
      <w:r w:rsidRPr="00C04CC8">
        <w:rPr>
          <w:lang w:val="en-US"/>
        </w:rPr>
        <w:t xml:space="preserve">- Any law or policy on right to information that accords with international standards </w:t>
      </w:r>
    </w:p>
    <w:p w:rsidR="00C17386" w:rsidRPr="00C04CC8" w:rsidRDefault="00C17386" w:rsidP="003173B5">
      <w:pPr>
        <w:spacing w:after="0"/>
        <w:ind w:left="360"/>
        <w:rPr>
          <w:lang w:val="en-US"/>
        </w:rPr>
      </w:pPr>
      <w:r w:rsidRPr="00C04CC8">
        <w:rPr>
          <w:lang w:val="en-US"/>
        </w:rPr>
        <w:t>- Reports from credible agencies/experts about right to information guarantees and the extent to which</w:t>
      </w:r>
      <w:r>
        <w:rPr>
          <w:lang w:val="en-US"/>
        </w:rPr>
        <w:t xml:space="preserve"> </w:t>
      </w:r>
      <w:r w:rsidRPr="00C04CC8">
        <w:rPr>
          <w:lang w:val="en-US"/>
        </w:rPr>
        <w:t xml:space="preserve">they reflect international standards/agreements </w:t>
      </w:r>
    </w:p>
    <w:p w:rsidR="00C17386" w:rsidRPr="00C04CC8" w:rsidRDefault="00C17386" w:rsidP="003173B5">
      <w:pPr>
        <w:spacing w:after="0"/>
        <w:ind w:left="360"/>
        <w:rPr>
          <w:lang w:val="en-US"/>
        </w:rPr>
      </w:pPr>
      <w:r w:rsidRPr="00C04CC8">
        <w:rPr>
          <w:lang w:val="en-US"/>
        </w:rPr>
        <w:t xml:space="preserve">- Policies of public bodies concerning release of information (which ensure readily, freely available public access to information, including online) </w:t>
      </w:r>
    </w:p>
    <w:p w:rsidR="00C17386" w:rsidRPr="000B158B" w:rsidRDefault="00C17386" w:rsidP="003173B5">
      <w:pPr>
        <w:spacing w:after="0"/>
        <w:ind w:left="360"/>
        <w:rPr>
          <w:lang w:val="en-US"/>
        </w:rPr>
      </w:pPr>
      <w:r w:rsidRPr="00C04CC8">
        <w:rPr>
          <w:lang w:val="en-US"/>
        </w:rPr>
        <w:t>- Evidence of state commitment to open government e.g. publication and dissemination of laws, court decisions, parliamentary proceedings, spending prog</w:t>
      </w:r>
      <w:r w:rsidRPr="000B158B">
        <w:rPr>
          <w:lang w:val="en-ZA"/>
        </w:rPr>
        <w:t xml:space="preserve">rammes (vis-à-vis SDG undertakings) </w:t>
      </w:r>
    </w:p>
    <w:p w:rsidR="00C17386" w:rsidRPr="00C04CC8" w:rsidRDefault="00C17386" w:rsidP="003173B5">
      <w:pPr>
        <w:spacing w:after="0"/>
        <w:ind w:left="360"/>
        <w:rPr>
          <w:lang w:val="en-US"/>
        </w:rPr>
      </w:pPr>
      <w:r w:rsidRPr="00C04CC8">
        <w:rPr>
          <w:lang w:val="en-US"/>
        </w:rPr>
        <w:t xml:space="preserve">- Statistical information about public requests for official information and their fulfilment or rejection </w:t>
      </w:r>
    </w:p>
    <w:p w:rsidR="00C17386" w:rsidRPr="00C04CC8" w:rsidRDefault="00C17386" w:rsidP="003173B5">
      <w:pPr>
        <w:spacing w:after="0"/>
        <w:ind w:left="360"/>
        <w:rPr>
          <w:lang w:val="en-US"/>
        </w:rPr>
      </w:pPr>
      <w:r w:rsidRPr="00C04CC8">
        <w:rPr>
          <w:lang w:val="en-US"/>
        </w:rPr>
        <w:t>- Statistical information about appeals or complaints over information requests that have been refused</w:t>
      </w:r>
    </w:p>
    <w:p w:rsidR="00C17386" w:rsidRPr="007477D1" w:rsidRDefault="00C17386" w:rsidP="003173B5">
      <w:pPr>
        <w:pBdr>
          <w:top w:val="nil"/>
          <w:left w:val="nil"/>
          <w:bottom w:val="nil"/>
          <w:right w:val="nil"/>
          <w:between w:val="nil"/>
          <w:bar w:val="nil"/>
        </w:pBdr>
        <w:spacing w:after="0" w:line="240" w:lineRule="auto"/>
        <w:rPr>
          <w:rFonts w:eastAsia="SimSun" w:cs="Times New Roman"/>
          <w:bCs/>
          <w:lang w:val="en-US" w:eastAsia="zh-CN"/>
        </w:rPr>
      </w:pPr>
    </w:p>
    <w:sectPr w:rsidR="00C17386" w:rsidRPr="007477D1" w:rsidSect="00687DA3">
      <w:headerReference w:type="default" r:id="rId9"/>
      <w:footerReference w:type="default" r:id="rId10"/>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EED" w:rsidRDefault="000B4EED" w:rsidP="007E7221">
      <w:pPr>
        <w:spacing w:after="0" w:line="240" w:lineRule="auto"/>
      </w:pPr>
      <w:r>
        <w:separator/>
      </w:r>
    </w:p>
  </w:endnote>
  <w:endnote w:type="continuationSeparator" w:id="0">
    <w:p w:rsidR="000B4EED" w:rsidRDefault="000B4EED" w:rsidP="007E7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456165"/>
      <w:docPartObj>
        <w:docPartGallery w:val="Page Numbers (Bottom of Page)"/>
        <w:docPartUnique/>
      </w:docPartObj>
    </w:sdtPr>
    <w:sdtEndPr>
      <w:rPr>
        <w:noProof/>
      </w:rPr>
    </w:sdtEndPr>
    <w:sdtContent>
      <w:p w:rsidR="001B358E" w:rsidRDefault="001B358E">
        <w:pPr>
          <w:pStyle w:val="Footer"/>
          <w:jc w:val="center"/>
        </w:pPr>
        <w:r>
          <w:fldChar w:fldCharType="begin"/>
        </w:r>
        <w:r>
          <w:instrText xml:space="preserve"> PAGE   \* MERGEFORMAT </w:instrText>
        </w:r>
        <w:r>
          <w:fldChar w:fldCharType="separate"/>
        </w:r>
        <w:r w:rsidR="001375AB">
          <w:rPr>
            <w:noProof/>
          </w:rPr>
          <w:t>6</w:t>
        </w:r>
        <w:r>
          <w:rPr>
            <w:noProof/>
          </w:rPr>
          <w:fldChar w:fldCharType="end"/>
        </w:r>
      </w:p>
    </w:sdtContent>
  </w:sdt>
  <w:p w:rsidR="001B358E" w:rsidRDefault="001B3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EED" w:rsidRDefault="000B4EED" w:rsidP="007E7221">
      <w:pPr>
        <w:spacing w:after="0" w:line="240" w:lineRule="auto"/>
      </w:pPr>
      <w:r>
        <w:separator/>
      </w:r>
    </w:p>
  </w:footnote>
  <w:footnote w:type="continuationSeparator" w:id="0">
    <w:p w:rsidR="000B4EED" w:rsidRDefault="000B4EED" w:rsidP="007E7221">
      <w:pPr>
        <w:spacing w:after="0" w:line="240" w:lineRule="auto"/>
      </w:pPr>
      <w:r>
        <w:continuationSeparator/>
      </w:r>
    </w:p>
  </w:footnote>
  <w:footnote w:id="1">
    <w:p w:rsidR="003A2ABF" w:rsidRPr="003A2ABF" w:rsidRDefault="003A2ABF" w:rsidP="003A2ABF">
      <w:pPr>
        <w:pStyle w:val="FootnoteText"/>
      </w:pPr>
      <w:r>
        <w:rPr>
          <w:rStyle w:val="FootnoteReference"/>
        </w:rPr>
        <w:footnoteRef/>
      </w:r>
      <w:r>
        <w:t xml:space="preserve"> </w:t>
      </w:r>
      <w:r w:rsidRPr="003A2ABF">
        <w:t>This indicator is classified as Tier 2 – “Indicator conceptually clear, established methodology and standards available but data are not regularly produced by countries”.</w:t>
      </w:r>
    </w:p>
  </w:footnote>
  <w:footnote w:id="2">
    <w:p w:rsidR="00060128" w:rsidRDefault="00060128" w:rsidP="00060128">
      <w:pPr>
        <w:pStyle w:val="FootnoteText"/>
      </w:pPr>
      <w:r>
        <w:rPr>
          <w:rStyle w:val="FootnoteReference"/>
        </w:rPr>
        <w:footnoteRef/>
      </w:r>
      <w:r>
        <w:t xml:space="preserve"> As the custodian agency for Indicator 16.10.2, UNESCO, through the IPDC, is officially mandated to </w:t>
      </w:r>
    </w:p>
    <w:p w:rsidR="00060128" w:rsidRDefault="00060128" w:rsidP="00060128">
      <w:pPr>
        <w:pStyle w:val="FootnoteText"/>
      </w:pPr>
      <w:r>
        <w:t>undertake the following:</w:t>
      </w:r>
    </w:p>
    <w:p w:rsidR="00060128" w:rsidRDefault="00060128" w:rsidP="00060128">
      <w:pPr>
        <w:pStyle w:val="FootnoteText"/>
        <w:numPr>
          <w:ilvl w:val="0"/>
          <w:numId w:val="18"/>
        </w:numPr>
      </w:pPr>
      <w:r>
        <w:t>Collecting data from national statistical systems</w:t>
      </w:r>
    </w:p>
    <w:p w:rsidR="00060128" w:rsidRDefault="00060128" w:rsidP="00060128">
      <w:pPr>
        <w:pStyle w:val="FootnoteText"/>
        <w:numPr>
          <w:ilvl w:val="0"/>
          <w:numId w:val="18"/>
        </w:numPr>
      </w:pPr>
      <w:r>
        <w:t xml:space="preserve">Providing a storyline  for  the  annual  global  SDG  progress  report,  including  the  High  Level </w:t>
      </w:r>
    </w:p>
    <w:p w:rsidR="00060128" w:rsidRDefault="00060128" w:rsidP="00060128">
      <w:pPr>
        <w:pStyle w:val="FootnoteText"/>
        <w:ind w:left="720"/>
      </w:pPr>
      <w:r>
        <w:t>Political Forum’s Global Sustainable Development Report</w:t>
      </w:r>
    </w:p>
    <w:p w:rsidR="00060128" w:rsidRDefault="00060128" w:rsidP="00060128">
      <w:pPr>
        <w:pStyle w:val="FootnoteText"/>
        <w:numPr>
          <w:ilvl w:val="0"/>
          <w:numId w:val="18"/>
        </w:numPr>
      </w:pPr>
      <w:r>
        <w:t xml:space="preserve">Providing and regularly updating metadata </w:t>
      </w:r>
    </w:p>
    <w:p w:rsidR="00060128" w:rsidRDefault="00060128" w:rsidP="00060128">
      <w:pPr>
        <w:pStyle w:val="FootnoteText"/>
        <w:numPr>
          <w:ilvl w:val="0"/>
          <w:numId w:val="18"/>
        </w:numPr>
      </w:pPr>
      <w:r>
        <w:t xml:space="preserve">Working on the methodological development and further refinement of the indicator </w:t>
      </w:r>
    </w:p>
    <w:p w:rsidR="00060128" w:rsidRDefault="00060128" w:rsidP="00060128">
      <w:pPr>
        <w:pStyle w:val="FootnoteText"/>
        <w:numPr>
          <w:ilvl w:val="0"/>
          <w:numId w:val="18"/>
        </w:numPr>
      </w:pPr>
      <w:r>
        <w:t xml:space="preserve">Contributing to statistical capacity building in the area of the indicator </w:t>
      </w:r>
    </w:p>
    <w:p w:rsidR="00060128" w:rsidRPr="007477D1" w:rsidRDefault="00060128" w:rsidP="00060128">
      <w:pPr>
        <w:pStyle w:val="FootnoteText"/>
        <w:numPr>
          <w:ilvl w:val="0"/>
          <w:numId w:val="18"/>
        </w:numPr>
      </w:pPr>
      <w:r>
        <w:t xml:space="preserve">Coordinating with other agencies and stakeholders who are interested in contributing to the indicator development. </w:t>
      </w:r>
    </w:p>
  </w:footnote>
  <w:footnote w:id="3">
    <w:p w:rsidR="006B4A28" w:rsidRPr="007477D1" w:rsidRDefault="006B4A28" w:rsidP="006B4A28">
      <w:pPr>
        <w:pStyle w:val="FootnoteText"/>
      </w:pPr>
      <w:r>
        <w:rPr>
          <w:rStyle w:val="FootnoteReference"/>
        </w:rPr>
        <w:footnoteRef/>
      </w:r>
      <w:r>
        <w:t xml:space="preserve"> </w:t>
      </w:r>
      <w:r w:rsidRPr="000B5CC4">
        <w:t>https://en.unesco.org/programme/ipdc/initiatives/kdmd</w:t>
      </w:r>
    </w:p>
  </w:footnote>
  <w:footnote w:id="4">
    <w:p w:rsidR="006B4A28" w:rsidRPr="007477D1" w:rsidRDefault="006B4A28" w:rsidP="006B4A28">
      <w:pPr>
        <w:pStyle w:val="FootnoteText"/>
      </w:pPr>
      <w:r>
        <w:rPr>
          <w:rStyle w:val="FootnoteReference"/>
        </w:rPr>
        <w:footnoteRef/>
      </w:r>
      <w:r>
        <w:t xml:space="preserve"> See </w:t>
      </w:r>
      <w:r w:rsidRPr="00A3310F">
        <w:t>http://unesdoc.unesco.org/images/0026/002616/261613e.pdf</w:t>
      </w:r>
    </w:p>
  </w:footnote>
  <w:footnote w:id="5">
    <w:p w:rsidR="00DD188E" w:rsidRPr="007477D1" w:rsidRDefault="00DD188E">
      <w:pPr>
        <w:pStyle w:val="FootnoteText"/>
      </w:pPr>
      <w:r>
        <w:rPr>
          <w:rStyle w:val="FootnoteReference"/>
        </w:rPr>
        <w:footnoteRef/>
      </w:r>
      <w:r>
        <w:t xml:space="preserve"> Access to Information (ATI), Right to Information (RTI) and Freedom of Information (FOI) refer to legal or policy guarantees for public access to information. These acronyms are used interchangeably in this document.</w:t>
      </w:r>
    </w:p>
  </w:footnote>
  <w:footnote w:id="6">
    <w:p w:rsidR="008E1735" w:rsidRPr="00A163CD" w:rsidRDefault="008E1735" w:rsidP="008E1735">
      <w:pPr>
        <w:pStyle w:val="FootnoteText"/>
      </w:pPr>
      <w:r>
        <w:rPr>
          <w:rStyle w:val="FootnoteReference"/>
        </w:rPr>
        <w:footnoteRef/>
      </w:r>
      <w:r>
        <w:t xml:space="preserve"> The 39 member intergovernmental Council of the IPDC meets every two years, although the 8 member Bureau meets annually. As data must be collected and submitted annually by UNESCO to the UN, it is possible to envisage an annual cycle for IPDC – a report </w:t>
      </w:r>
      <w:r w:rsidR="002048B5">
        <w:t>to the</w:t>
      </w:r>
      <w:r>
        <w:t xml:space="preserve"> Bureau one year, and to the Council the year after. At least for the Council meeting, the reporting could be a more elaborated document, than what is submitted to to the UN.</w:t>
      </w:r>
    </w:p>
  </w:footnote>
  <w:footnote w:id="7">
    <w:p w:rsidR="00267AF1" w:rsidRPr="007477D1" w:rsidRDefault="00267AF1">
      <w:pPr>
        <w:pStyle w:val="FootnoteText"/>
      </w:pPr>
      <w:r>
        <w:rPr>
          <w:rStyle w:val="FootnoteReference"/>
        </w:rPr>
        <w:footnoteRef/>
      </w:r>
      <w:r>
        <w:t xml:space="preserve"> Notably </w:t>
      </w:r>
      <w:hyperlink r:id="rId1" w:history="1">
        <w:r>
          <w:rPr>
            <w:rStyle w:val="Hyperlink"/>
          </w:rPr>
          <w:t>Access Info Europe</w:t>
        </w:r>
      </w:hyperlink>
      <w:r>
        <w:t xml:space="preserve"> (AIE) and the </w:t>
      </w:r>
      <w:hyperlink r:id="rId2" w:history="1">
        <w:r>
          <w:rPr>
            <w:rStyle w:val="Hyperlink"/>
          </w:rPr>
          <w:t>Centre for Law and Democracy</w:t>
        </w:r>
      </w:hyperlink>
      <w:r>
        <w:t xml:space="preserve"> (CLD) who produce </w:t>
      </w:r>
      <w:hyperlink r:id="rId3" w:history="1">
        <w:r w:rsidR="00CC2B4C" w:rsidRPr="00D55FD5">
          <w:rPr>
            <w:rStyle w:val="Hyperlink"/>
          </w:rPr>
          <w:t>http://www.rti-rating.org/</w:t>
        </w:r>
      </w:hyperlink>
      <w:r w:rsidR="00CC2B4C">
        <w:t xml:space="preserve">; and the World Justice Project. </w:t>
      </w:r>
    </w:p>
  </w:footnote>
  <w:footnote w:id="8">
    <w:p w:rsidR="001B358E" w:rsidRPr="007477D1" w:rsidRDefault="001B358E">
      <w:pPr>
        <w:pStyle w:val="FootnoteText"/>
        <w:rPr>
          <w:lang w:val="en-US"/>
        </w:rPr>
      </w:pPr>
      <w:r w:rsidRPr="007477D1">
        <w:rPr>
          <w:rStyle w:val="FootnoteReference"/>
        </w:rPr>
        <w:footnoteRef/>
      </w:r>
      <w:r w:rsidRPr="007477D1">
        <w:t xml:space="preserve"> 2017 and 2018 reports are available at </w:t>
      </w:r>
      <w:hyperlink r:id="rId4" w:history="1">
        <w:r w:rsidRPr="007477D1">
          <w:rPr>
            <w:rStyle w:val="Hyperlink"/>
          </w:rPr>
          <w:t>https://unstats.un.org/sdgs/</w:t>
        </w:r>
      </w:hyperlink>
      <w:r w:rsidRPr="007477D1">
        <w:t xml:space="preserve"> </w:t>
      </w:r>
    </w:p>
  </w:footnote>
  <w:footnote w:id="9">
    <w:p w:rsidR="00A72764" w:rsidRPr="007477D1" w:rsidRDefault="00A72764">
      <w:pPr>
        <w:pStyle w:val="FootnoteText"/>
        <w:rPr>
          <w:lang w:val="en-US"/>
        </w:rPr>
      </w:pPr>
      <w:r>
        <w:rPr>
          <w:rStyle w:val="FootnoteReference"/>
        </w:rPr>
        <w:footnoteRef/>
      </w:r>
      <w:r>
        <w:t xml:space="preserve"> </w:t>
      </w:r>
      <w:r w:rsidRPr="00A72764">
        <w:t>https://unstats-undesa.opendata.arcgis.com/datasets/indicator-16.10.2-number-of-countries-that-adopt-and-implement-constitutional-statutory-andor-policy-guarantees-for-public-access-to-information</w:t>
      </w:r>
    </w:p>
  </w:footnote>
  <w:footnote w:id="10">
    <w:p w:rsidR="00BA514F" w:rsidRPr="007477D1" w:rsidRDefault="00BA514F">
      <w:pPr>
        <w:pStyle w:val="FootnoteText"/>
      </w:pPr>
      <w:r>
        <w:rPr>
          <w:rStyle w:val="FootnoteReference"/>
        </w:rPr>
        <w:footnoteRef/>
      </w:r>
      <w:r>
        <w:t xml:space="preserve"> See Appendix 1</w:t>
      </w:r>
    </w:p>
  </w:footnote>
  <w:footnote w:id="11">
    <w:p w:rsidR="00C62A2F" w:rsidRPr="007477D1" w:rsidRDefault="00C62A2F">
      <w:pPr>
        <w:pStyle w:val="FootnoteText"/>
      </w:pPr>
      <w:r>
        <w:rPr>
          <w:rStyle w:val="FootnoteReference"/>
        </w:rPr>
        <w:footnoteRef/>
      </w:r>
      <w:r>
        <w:t xml:space="preserve"> However, UNESCO’s reporting </w:t>
      </w:r>
      <w:r w:rsidR="00E91930">
        <w:t xml:space="preserve">for the UN Secretary General’s Report does take </w:t>
      </w:r>
      <w:r>
        <w:t xml:space="preserve">cognisance of findings such as by the World Justice Project in 2015 that only 40% of survey respondents </w:t>
      </w:r>
      <w:r w:rsidR="00756AD8">
        <w:t xml:space="preserve">in 107 states </w:t>
      </w:r>
      <w:r>
        <w:t xml:space="preserve">know of </w:t>
      </w:r>
      <w:r w:rsidR="00B1681B">
        <w:t xml:space="preserve">laws in their country about their </w:t>
      </w:r>
      <w:r>
        <w:t xml:space="preserve">right to access government-held information. </w:t>
      </w:r>
    </w:p>
  </w:footnote>
  <w:footnote w:id="12">
    <w:p w:rsidR="00565ECA" w:rsidRPr="007477D1" w:rsidRDefault="00565ECA" w:rsidP="007477D1">
      <w:pPr>
        <w:spacing w:after="0"/>
        <w:jc w:val="both"/>
        <w:rPr>
          <w:rFonts w:eastAsia="Calibri"/>
          <w:bCs/>
          <w:sz w:val="20"/>
          <w:szCs w:val="20"/>
        </w:rPr>
      </w:pPr>
      <w:r w:rsidRPr="007477D1">
        <w:rPr>
          <w:rStyle w:val="FootnoteReference"/>
          <w:sz w:val="20"/>
          <w:szCs w:val="20"/>
        </w:rPr>
        <w:footnoteRef/>
      </w:r>
      <w:r w:rsidRPr="007477D1">
        <w:rPr>
          <w:sz w:val="20"/>
          <w:szCs w:val="20"/>
        </w:rPr>
        <w:t xml:space="preserve"> </w:t>
      </w:r>
      <w:r w:rsidRPr="007477D1">
        <w:rPr>
          <w:rFonts w:eastAsia="Calibri"/>
          <w:bCs/>
          <w:sz w:val="20"/>
          <w:szCs w:val="20"/>
        </w:rPr>
        <w:t xml:space="preserve">This “lite” version parallels an existing IPDC mechanism requesting data from states about judicial follow up to the killings of journalists, where the </w:t>
      </w:r>
      <w:r w:rsidR="00732E3A">
        <w:rPr>
          <w:rFonts w:eastAsia="Calibri"/>
          <w:bCs/>
          <w:sz w:val="20"/>
          <w:szCs w:val="20"/>
        </w:rPr>
        <w:t xml:space="preserve">combined </w:t>
      </w:r>
      <w:r w:rsidRPr="007477D1">
        <w:rPr>
          <w:rFonts w:eastAsia="Calibri"/>
          <w:bCs/>
          <w:sz w:val="20"/>
          <w:szCs w:val="20"/>
        </w:rPr>
        <w:t xml:space="preserve">response rate </w:t>
      </w:r>
      <w:r w:rsidR="00732E3A">
        <w:rPr>
          <w:rFonts w:eastAsia="Calibri"/>
          <w:bCs/>
          <w:sz w:val="20"/>
          <w:szCs w:val="20"/>
        </w:rPr>
        <w:t xml:space="preserve">for data submission </w:t>
      </w:r>
      <w:r w:rsidRPr="007477D1">
        <w:rPr>
          <w:rFonts w:eastAsia="Calibri"/>
          <w:bCs/>
          <w:sz w:val="20"/>
          <w:szCs w:val="20"/>
        </w:rPr>
        <w:t xml:space="preserve">has risen strongly in recent years. </w:t>
      </w:r>
      <w:r w:rsidR="00732E3A">
        <w:rPr>
          <w:rFonts w:eastAsia="Calibri"/>
          <w:bCs/>
          <w:sz w:val="20"/>
          <w:szCs w:val="20"/>
        </w:rPr>
        <w:t>It may be noted that c</w:t>
      </w:r>
      <w:r w:rsidRPr="007477D1">
        <w:rPr>
          <w:rFonts w:eastAsia="Calibri"/>
          <w:bCs/>
          <w:sz w:val="20"/>
          <w:szCs w:val="20"/>
        </w:rPr>
        <w:t xml:space="preserve">omplementing this parallel IPDC mechanism is </w:t>
      </w:r>
      <w:r w:rsidR="00732E3A">
        <w:rPr>
          <w:rFonts w:eastAsia="Calibri"/>
          <w:bCs/>
          <w:sz w:val="20"/>
          <w:szCs w:val="20"/>
        </w:rPr>
        <w:t xml:space="preserve">also </w:t>
      </w:r>
      <w:r w:rsidRPr="007477D1">
        <w:rPr>
          <w:rFonts w:eastAsia="Calibri"/>
          <w:bCs/>
          <w:sz w:val="20"/>
          <w:szCs w:val="20"/>
        </w:rPr>
        <w:t xml:space="preserve">an elaborated “Journalists’ Safety Indicators” research tool which has been implemented </w:t>
      </w:r>
      <w:r w:rsidR="00732E3A">
        <w:rPr>
          <w:rFonts w:eastAsia="Calibri"/>
          <w:bCs/>
          <w:sz w:val="20"/>
          <w:szCs w:val="20"/>
        </w:rPr>
        <w:t>for in-depth research with</w:t>
      </w:r>
      <w:r w:rsidRPr="007477D1">
        <w:rPr>
          <w:rFonts w:eastAsia="Calibri"/>
          <w:bCs/>
          <w:sz w:val="20"/>
          <w:szCs w:val="20"/>
        </w:rPr>
        <w:t>in a limited number of countries.</w:t>
      </w:r>
      <w:r w:rsidR="00281F9F" w:rsidRPr="007477D1">
        <w:rPr>
          <w:rFonts w:eastAsia="Calibri"/>
          <w:bCs/>
          <w:sz w:val="20"/>
          <w:szCs w:val="20"/>
        </w:rPr>
        <w:t xml:space="preserve"> </w:t>
      </w:r>
    </w:p>
  </w:footnote>
  <w:footnote w:id="13">
    <w:p w:rsidR="00EB159A" w:rsidRPr="007477D1" w:rsidRDefault="00EB159A">
      <w:pPr>
        <w:pStyle w:val="FootnoteText"/>
      </w:pPr>
      <w:r>
        <w:rPr>
          <w:rStyle w:val="FootnoteReference"/>
        </w:rPr>
        <w:footnoteRef/>
      </w:r>
      <w:r>
        <w:t xml:space="preserve"> </w:t>
      </w:r>
      <w:r>
        <w:rPr>
          <w:lang w:val="en-US"/>
        </w:rPr>
        <w:t xml:space="preserve">More info at: </w:t>
      </w:r>
      <w:r w:rsidRPr="007201EE">
        <w:rPr>
          <w:lang w:val="en-US"/>
        </w:rPr>
        <w:t>https://www.facebook.com/JournalismThroughRTI/</w:t>
      </w:r>
    </w:p>
  </w:footnote>
  <w:footnote w:id="14">
    <w:p w:rsidR="00281F9F" w:rsidRPr="007477D1" w:rsidRDefault="00281F9F">
      <w:pPr>
        <w:pStyle w:val="FootnoteText"/>
        <w:rPr>
          <w:lang w:val="en-US"/>
        </w:rPr>
      </w:pPr>
      <w:r w:rsidRPr="007477D1">
        <w:rPr>
          <w:rStyle w:val="FootnoteReference"/>
        </w:rPr>
        <w:footnoteRef/>
      </w:r>
      <w:r w:rsidRPr="007477D1">
        <w:t xml:space="preserve"> </w:t>
      </w:r>
      <w:r w:rsidRPr="007477D1">
        <w:rPr>
          <w:lang w:val="en-US"/>
        </w:rPr>
        <w:t xml:space="preserve">This elaborated instrument parallels UNESCO’s development of Media Viability Indicators, </w:t>
      </w:r>
      <w:r w:rsidR="00FE230A">
        <w:rPr>
          <w:lang w:val="en-US"/>
        </w:rPr>
        <w:t>which</w:t>
      </w:r>
      <w:r w:rsidRPr="007477D1">
        <w:rPr>
          <w:lang w:val="en-US"/>
        </w:rPr>
        <w:t xml:space="preserve"> provide</w:t>
      </w:r>
      <w:r w:rsidR="00FE230A">
        <w:rPr>
          <w:lang w:val="en-US"/>
        </w:rPr>
        <w:t>s</w:t>
      </w:r>
      <w:r w:rsidR="00FE230A" w:rsidRPr="007477D1">
        <w:rPr>
          <w:lang w:val="en-US"/>
        </w:rPr>
        <w:t xml:space="preserve"> a fleshed</w:t>
      </w:r>
      <w:r w:rsidR="00FE230A">
        <w:rPr>
          <w:lang w:val="en-US"/>
        </w:rPr>
        <w:t>-</w:t>
      </w:r>
      <w:r w:rsidRPr="007477D1">
        <w:rPr>
          <w:lang w:val="en-US"/>
        </w:rPr>
        <w:t xml:space="preserve">out complement to </w:t>
      </w:r>
      <w:r w:rsidR="002D5828">
        <w:rPr>
          <w:lang w:val="en-US"/>
        </w:rPr>
        <w:t xml:space="preserve">an area given only limited attention in </w:t>
      </w:r>
      <w:r w:rsidRPr="007477D1">
        <w:rPr>
          <w:lang w:val="en-US"/>
        </w:rPr>
        <w:t>the broader IPDC Media Development Indicators.</w:t>
      </w:r>
    </w:p>
  </w:footnote>
  <w:footnote w:id="15">
    <w:p w:rsidR="00AA2B32" w:rsidRDefault="00AA2B32" w:rsidP="00AA2B32">
      <w:pPr>
        <w:pStyle w:val="FootnoteText"/>
      </w:pPr>
      <w:r>
        <w:rPr>
          <w:rStyle w:val="FootnoteReference"/>
        </w:rPr>
        <w:footnoteRef/>
      </w:r>
      <w:r>
        <w:t xml:space="preserve"> Algeria, Bosnia and Herzegovina, Burkina Faso, Cameroon, Central African Republic, Chad, Congo, Côte d’Ivoire, Croatia, Eritrea, Fiji, Ghana, Iceland, Israel, Kazakhstan, Kuwait, Lesotho, Mauritania, Mauritius, Mongolia, Nauru, New Zealand, Oman, Pakistan, Palau, Saint Lucia, Serbia, South Africa, Timor-Leste, Tonga, Tunisia, Turkmenistan, United Kingdom of Great Britain and Northern Ireland, United Republic of Tanzania, and</w:t>
      </w:r>
    </w:p>
    <w:p w:rsidR="00AA2B32" w:rsidRPr="00AA2B32" w:rsidRDefault="00AA2B32" w:rsidP="00AA2B32">
      <w:pPr>
        <w:pStyle w:val="FootnoteText"/>
        <w:rPr>
          <w:lang w:val="en-US"/>
        </w:rPr>
      </w:pPr>
      <w:r>
        <w:t>Vanuatu.</w:t>
      </w:r>
    </w:p>
  </w:footnote>
  <w:footnote w:id="16">
    <w:p w:rsidR="00C17386" w:rsidRPr="006B3B23" w:rsidRDefault="00C17386" w:rsidP="00C17386">
      <w:pPr>
        <w:pStyle w:val="FootnoteText"/>
        <w:rPr>
          <w:lang w:val="en-US"/>
        </w:rPr>
      </w:pPr>
      <w:r>
        <w:rPr>
          <w:rStyle w:val="FootnoteReference"/>
        </w:rPr>
        <w:footnoteRef/>
      </w:r>
      <w:r>
        <w:t xml:space="preserve"> </w:t>
      </w:r>
      <w:r w:rsidRPr="006B3B23">
        <w:t>https://unstats.un.org/sdgs/metadata/files/Metadata-16-10-02.pdf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58E" w:rsidRPr="00687DA3" w:rsidRDefault="00211F7F">
    <w:pPr>
      <w:pStyle w:val="Header"/>
      <w:rPr>
        <w:b/>
        <w:color w:val="FF0000"/>
        <w:sz w:val="24"/>
        <w:lang w:val="fr-FR"/>
      </w:rPr>
    </w:pPr>
    <w:r>
      <w:rPr>
        <w:b/>
        <w:color w:val="FF0000"/>
        <w:sz w:val="24"/>
        <w:lang w:val="fr-FR"/>
      </w:rPr>
      <w:t>10</w:t>
    </w:r>
    <w:r w:rsidR="001B358E" w:rsidRPr="00687DA3">
      <w:rPr>
        <w:b/>
        <w:color w:val="FF0000"/>
        <w:sz w:val="24"/>
        <w:lang w:val="fr-FR"/>
      </w:rPr>
      <w:t xml:space="preserve"> August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4D99"/>
    <w:multiLevelType w:val="hybridMultilevel"/>
    <w:tmpl w:val="4040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32779"/>
    <w:multiLevelType w:val="hybridMultilevel"/>
    <w:tmpl w:val="4B58D7E4"/>
    <w:lvl w:ilvl="0" w:tplc="641021A0">
      <w:start w:val="1"/>
      <w:numFmt w:val="lowerRoman"/>
      <w:lvlText w:val="%1."/>
      <w:lvlJc w:val="left"/>
      <w:pPr>
        <w:ind w:left="1800" w:hanging="720"/>
      </w:pPr>
      <w:rPr>
        <w:rFonts w:ascii="Calibri" w:eastAsia="SimSun" w:hAnsi="Calibri" w:cs="Arial"/>
        <w:b w:val="0"/>
      </w:rPr>
    </w:lvl>
    <w:lvl w:ilvl="1" w:tplc="08090001">
      <w:start w:val="1"/>
      <w:numFmt w:val="bullet"/>
      <w:lvlText w:val=""/>
      <w:lvlJc w:val="left"/>
      <w:pPr>
        <w:ind w:left="2160" w:hanging="360"/>
      </w:pPr>
      <w:rPr>
        <w:rFonts w:ascii="Symbol" w:hAnsi="Symbol" w:hint="default"/>
      </w:rPr>
    </w:lvl>
    <w:lvl w:ilvl="2" w:tplc="D77A0154">
      <w:numFmt w:val="bullet"/>
      <w:lvlText w:val="–"/>
      <w:lvlJc w:val="left"/>
      <w:pPr>
        <w:ind w:left="3060" w:hanging="360"/>
      </w:pPr>
      <w:rPr>
        <w:rFonts w:ascii="Times New Roman" w:eastAsia="SimSun" w:hAnsi="Times New Roman" w:cs="Times New Roman" w:hint="default"/>
      </w:r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0C02476E"/>
    <w:multiLevelType w:val="hybridMultilevel"/>
    <w:tmpl w:val="F8149A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37A5A6C"/>
    <w:multiLevelType w:val="hybridMultilevel"/>
    <w:tmpl w:val="664CC9B4"/>
    <w:lvl w:ilvl="0" w:tplc="A54605F8">
      <w:start w:val="1"/>
      <w:numFmt w:val="lowerRoman"/>
      <w:lvlText w:val="(%1)"/>
      <w:lvlJc w:val="left"/>
      <w:pPr>
        <w:ind w:left="1080" w:hanging="720"/>
      </w:pPr>
      <w:rPr>
        <w:rFonts w:ascii="Arial" w:eastAsia="SimSu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D37A2"/>
    <w:multiLevelType w:val="hybridMultilevel"/>
    <w:tmpl w:val="0896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E54A5"/>
    <w:multiLevelType w:val="hybridMultilevel"/>
    <w:tmpl w:val="FD8A35E0"/>
    <w:lvl w:ilvl="0" w:tplc="08090001">
      <w:start w:val="1"/>
      <w:numFmt w:val="bullet"/>
      <w:lvlText w:val=""/>
      <w:lvlJc w:val="left"/>
      <w:pPr>
        <w:ind w:left="1800" w:hanging="720"/>
      </w:pPr>
      <w:rPr>
        <w:rFonts w:ascii="Symbol" w:hAnsi="Symbol" w:hint="default"/>
        <w:b w:val="0"/>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34F83DA6"/>
    <w:multiLevelType w:val="hybridMultilevel"/>
    <w:tmpl w:val="8CAA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07F02"/>
    <w:multiLevelType w:val="hybridMultilevel"/>
    <w:tmpl w:val="86ACD76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E4469B9"/>
    <w:multiLevelType w:val="hybridMultilevel"/>
    <w:tmpl w:val="AD401066"/>
    <w:lvl w:ilvl="0" w:tplc="28661AE8">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B2ACA"/>
    <w:multiLevelType w:val="hybridMultilevel"/>
    <w:tmpl w:val="9ABA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507F2"/>
    <w:multiLevelType w:val="hybridMultilevel"/>
    <w:tmpl w:val="9AE6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AC6091"/>
    <w:multiLevelType w:val="hybridMultilevel"/>
    <w:tmpl w:val="ABB27C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60E74C7"/>
    <w:multiLevelType w:val="hybridMultilevel"/>
    <w:tmpl w:val="4FA629DE"/>
    <w:lvl w:ilvl="0" w:tplc="D076B550">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6A811704"/>
    <w:multiLevelType w:val="hybridMultilevel"/>
    <w:tmpl w:val="503EDE88"/>
    <w:lvl w:ilvl="0" w:tplc="77C6637E">
      <w:start w:val="1"/>
      <w:numFmt w:val="lowerLetter"/>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4" w15:restartNumberingAfterBreak="0">
    <w:nsid w:val="6B020128"/>
    <w:multiLevelType w:val="hybridMultilevel"/>
    <w:tmpl w:val="FC02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F961F9"/>
    <w:multiLevelType w:val="hybridMultilevel"/>
    <w:tmpl w:val="66C63AEC"/>
    <w:lvl w:ilvl="0" w:tplc="900A5D3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F137083"/>
    <w:multiLevelType w:val="hybridMultilevel"/>
    <w:tmpl w:val="424CD190"/>
    <w:lvl w:ilvl="0" w:tplc="08090001">
      <w:start w:val="1"/>
      <w:numFmt w:val="bullet"/>
      <w:lvlText w:val=""/>
      <w:lvlJc w:val="left"/>
      <w:pPr>
        <w:ind w:left="1800" w:hanging="720"/>
      </w:pPr>
      <w:rPr>
        <w:rFonts w:ascii="Symbol" w:hAnsi="Symbol" w:hint="default"/>
        <w:b w:val="0"/>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6FBE212A"/>
    <w:multiLevelType w:val="hybridMultilevel"/>
    <w:tmpl w:val="E50EF54E"/>
    <w:lvl w:ilvl="0" w:tplc="28661AE8">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DD012A"/>
    <w:multiLevelType w:val="hybridMultilevel"/>
    <w:tmpl w:val="BFFA5E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num>
  <w:num w:numId="3">
    <w:abstractNumId w:val="15"/>
  </w:num>
  <w:num w:numId="4">
    <w:abstractNumId w:val="5"/>
  </w:num>
  <w:num w:numId="5">
    <w:abstractNumId w:val="16"/>
  </w:num>
  <w:num w:numId="6">
    <w:abstractNumId w:val="13"/>
  </w:num>
  <w:num w:numId="7">
    <w:abstractNumId w:val="11"/>
  </w:num>
  <w:num w:numId="8">
    <w:abstractNumId w:val="2"/>
  </w:num>
  <w:num w:numId="9">
    <w:abstractNumId w:val="18"/>
  </w:num>
  <w:num w:numId="10">
    <w:abstractNumId w:val="0"/>
  </w:num>
  <w:num w:numId="11">
    <w:abstractNumId w:val="4"/>
  </w:num>
  <w:num w:numId="12">
    <w:abstractNumId w:val="14"/>
  </w:num>
  <w:num w:numId="13">
    <w:abstractNumId w:val="10"/>
  </w:num>
  <w:num w:numId="14">
    <w:abstractNumId w:val="9"/>
  </w:num>
  <w:num w:numId="15">
    <w:abstractNumId w:val="6"/>
  </w:num>
  <w:num w:numId="16">
    <w:abstractNumId w:val="7"/>
  </w:num>
  <w:num w:numId="17">
    <w:abstractNumId w:val="8"/>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AR" w:vendorID="64" w:dllVersion="131078" w:nlCheck="1" w:checkStyle="0"/>
  <w:activeWritingStyle w:appName="MSWord" w:lang="en-ZA"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9EE"/>
    <w:rsid w:val="00000234"/>
    <w:rsid w:val="00000237"/>
    <w:rsid w:val="00005536"/>
    <w:rsid w:val="00014215"/>
    <w:rsid w:val="00017ABA"/>
    <w:rsid w:val="00020544"/>
    <w:rsid w:val="00025CEC"/>
    <w:rsid w:val="0003159E"/>
    <w:rsid w:val="00033696"/>
    <w:rsid w:val="00036831"/>
    <w:rsid w:val="00044251"/>
    <w:rsid w:val="000460CC"/>
    <w:rsid w:val="00046B92"/>
    <w:rsid w:val="00060128"/>
    <w:rsid w:val="0006149C"/>
    <w:rsid w:val="00063F4D"/>
    <w:rsid w:val="00074966"/>
    <w:rsid w:val="0007767F"/>
    <w:rsid w:val="00081E2D"/>
    <w:rsid w:val="00084951"/>
    <w:rsid w:val="000977E6"/>
    <w:rsid w:val="000A2E3B"/>
    <w:rsid w:val="000A5CAD"/>
    <w:rsid w:val="000A773A"/>
    <w:rsid w:val="000B35C3"/>
    <w:rsid w:val="000B4EED"/>
    <w:rsid w:val="000B5CC4"/>
    <w:rsid w:val="000C7601"/>
    <w:rsid w:val="000E7B6F"/>
    <w:rsid w:val="00104B7D"/>
    <w:rsid w:val="00110F24"/>
    <w:rsid w:val="001156DC"/>
    <w:rsid w:val="0012104D"/>
    <w:rsid w:val="001375AB"/>
    <w:rsid w:val="00144213"/>
    <w:rsid w:val="00146CE8"/>
    <w:rsid w:val="00153514"/>
    <w:rsid w:val="0016178C"/>
    <w:rsid w:val="0016364F"/>
    <w:rsid w:val="001658D9"/>
    <w:rsid w:val="001763B6"/>
    <w:rsid w:val="001777A3"/>
    <w:rsid w:val="00190CF1"/>
    <w:rsid w:val="00191543"/>
    <w:rsid w:val="001A23C6"/>
    <w:rsid w:val="001A4860"/>
    <w:rsid w:val="001A68A6"/>
    <w:rsid w:val="001B33DA"/>
    <w:rsid w:val="001B358E"/>
    <w:rsid w:val="001B3C38"/>
    <w:rsid w:val="001C6C9A"/>
    <w:rsid w:val="001D179E"/>
    <w:rsid w:val="001E29E8"/>
    <w:rsid w:val="001E3CEC"/>
    <w:rsid w:val="001F0C6B"/>
    <w:rsid w:val="002048B5"/>
    <w:rsid w:val="00211F7F"/>
    <w:rsid w:val="0021243A"/>
    <w:rsid w:val="00215DB2"/>
    <w:rsid w:val="00225F7D"/>
    <w:rsid w:val="002269C8"/>
    <w:rsid w:val="00246282"/>
    <w:rsid w:val="00262F75"/>
    <w:rsid w:val="0026772C"/>
    <w:rsid w:val="00267AF1"/>
    <w:rsid w:val="00281F9F"/>
    <w:rsid w:val="0028337B"/>
    <w:rsid w:val="002875DE"/>
    <w:rsid w:val="00287692"/>
    <w:rsid w:val="00290F0B"/>
    <w:rsid w:val="00292BCB"/>
    <w:rsid w:val="002A7426"/>
    <w:rsid w:val="002C13A0"/>
    <w:rsid w:val="002D5828"/>
    <w:rsid w:val="002F043D"/>
    <w:rsid w:val="00300AF1"/>
    <w:rsid w:val="00302BE4"/>
    <w:rsid w:val="00310CA6"/>
    <w:rsid w:val="003133F1"/>
    <w:rsid w:val="003173B5"/>
    <w:rsid w:val="00321205"/>
    <w:rsid w:val="00321581"/>
    <w:rsid w:val="0033510A"/>
    <w:rsid w:val="00343FBC"/>
    <w:rsid w:val="003662B1"/>
    <w:rsid w:val="00366716"/>
    <w:rsid w:val="00366B6A"/>
    <w:rsid w:val="0037701F"/>
    <w:rsid w:val="00383CFA"/>
    <w:rsid w:val="00385A2F"/>
    <w:rsid w:val="00386E94"/>
    <w:rsid w:val="00387CA2"/>
    <w:rsid w:val="003909B8"/>
    <w:rsid w:val="00396A6E"/>
    <w:rsid w:val="00397B0F"/>
    <w:rsid w:val="003A2ABF"/>
    <w:rsid w:val="003A5B59"/>
    <w:rsid w:val="003B2B3B"/>
    <w:rsid w:val="003C3BB7"/>
    <w:rsid w:val="003D1E07"/>
    <w:rsid w:val="003D3908"/>
    <w:rsid w:val="003D4595"/>
    <w:rsid w:val="003D76BE"/>
    <w:rsid w:val="003F4761"/>
    <w:rsid w:val="00411D80"/>
    <w:rsid w:val="004345AB"/>
    <w:rsid w:val="004409CA"/>
    <w:rsid w:val="00452E70"/>
    <w:rsid w:val="0046369E"/>
    <w:rsid w:val="00467E5D"/>
    <w:rsid w:val="00475967"/>
    <w:rsid w:val="0048270B"/>
    <w:rsid w:val="00490995"/>
    <w:rsid w:val="00494DC1"/>
    <w:rsid w:val="004A74D3"/>
    <w:rsid w:val="004D1E30"/>
    <w:rsid w:val="004D2BA6"/>
    <w:rsid w:val="004D42B4"/>
    <w:rsid w:val="004E4ACD"/>
    <w:rsid w:val="004F3465"/>
    <w:rsid w:val="004F3E90"/>
    <w:rsid w:val="004F65B2"/>
    <w:rsid w:val="004F68D2"/>
    <w:rsid w:val="00520897"/>
    <w:rsid w:val="00525108"/>
    <w:rsid w:val="0053526A"/>
    <w:rsid w:val="0054014D"/>
    <w:rsid w:val="00541A34"/>
    <w:rsid w:val="00541DF6"/>
    <w:rsid w:val="00542B7B"/>
    <w:rsid w:val="00545D07"/>
    <w:rsid w:val="0055122F"/>
    <w:rsid w:val="00565ECA"/>
    <w:rsid w:val="00586FB7"/>
    <w:rsid w:val="005A0639"/>
    <w:rsid w:val="005A1E1E"/>
    <w:rsid w:val="005A632B"/>
    <w:rsid w:val="005A76E4"/>
    <w:rsid w:val="005B3A2A"/>
    <w:rsid w:val="005C031C"/>
    <w:rsid w:val="005E655A"/>
    <w:rsid w:val="005F2121"/>
    <w:rsid w:val="005F23DE"/>
    <w:rsid w:val="005F37C1"/>
    <w:rsid w:val="00603B3F"/>
    <w:rsid w:val="00620064"/>
    <w:rsid w:val="0062087C"/>
    <w:rsid w:val="006300E5"/>
    <w:rsid w:val="0064066D"/>
    <w:rsid w:val="006425F2"/>
    <w:rsid w:val="00647035"/>
    <w:rsid w:val="00647A05"/>
    <w:rsid w:val="0066203E"/>
    <w:rsid w:val="0066413B"/>
    <w:rsid w:val="00672995"/>
    <w:rsid w:val="006763AB"/>
    <w:rsid w:val="00687DA3"/>
    <w:rsid w:val="0069147F"/>
    <w:rsid w:val="006A2217"/>
    <w:rsid w:val="006A2E0E"/>
    <w:rsid w:val="006A6AA5"/>
    <w:rsid w:val="006B4A28"/>
    <w:rsid w:val="006C2061"/>
    <w:rsid w:val="006C2A83"/>
    <w:rsid w:val="006C33B4"/>
    <w:rsid w:val="006C7329"/>
    <w:rsid w:val="006D1FA2"/>
    <w:rsid w:val="006F76D9"/>
    <w:rsid w:val="007017BE"/>
    <w:rsid w:val="007024D3"/>
    <w:rsid w:val="007101AF"/>
    <w:rsid w:val="00710B87"/>
    <w:rsid w:val="007214ED"/>
    <w:rsid w:val="00730EB6"/>
    <w:rsid w:val="00732E3A"/>
    <w:rsid w:val="00735523"/>
    <w:rsid w:val="007477D1"/>
    <w:rsid w:val="00747BA7"/>
    <w:rsid w:val="00756AD8"/>
    <w:rsid w:val="007637A7"/>
    <w:rsid w:val="007711F9"/>
    <w:rsid w:val="0078208D"/>
    <w:rsid w:val="0079147A"/>
    <w:rsid w:val="00794054"/>
    <w:rsid w:val="007A293C"/>
    <w:rsid w:val="007A2D93"/>
    <w:rsid w:val="007B391A"/>
    <w:rsid w:val="007B4004"/>
    <w:rsid w:val="007B6D63"/>
    <w:rsid w:val="007B6D9F"/>
    <w:rsid w:val="007C5580"/>
    <w:rsid w:val="007D25F6"/>
    <w:rsid w:val="007E7221"/>
    <w:rsid w:val="007F0A98"/>
    <w:rsid w:val="00802E01"/>
    <w:rsid w:val="00805E08"/>
    <w:rsid w:val="00812355"/>
    <w:rsid w:val="0081446D"/>
    <w:rsid w:val="00826CC0"/>
    <w:rsid w:val="008372E4"/>
    <w:rsid w:val="00844FA0"/>
    <w:rsid w:val="00856DEB"/>
    <w:rsid w:val="008645CD"/>
    <w:rsid w:val="00871544"/>
    <w:rsid w:val="00872057"/>
    <w:rsid w:val="00876106"/>
    <w:rsid w:val="008810AF"/>
    <w:rsid w:val="00883A7B"/>
    <w:rsid w:val="00890030"/>
    <w:rsid w:val="00895CD3"/>
    <w:rsid w:val="008A12E4"/>
    <w:rsid w:val="008B1D1C"/>
    <w:rsid w:val="008C16D5"/>
    <w:rsid w:val="008C3D29"/>
    <w:rsid w:val="008D2647"/>
    <w:rsid w:val="008D5919"/>
    <w:rsid w:val="008D5FB2"/>
    <w:rsid w:val="008D746B"/>
    <w:rsid w:val="008E1735"/>
    <w:rsid w:val="008E433B"/>
    <w:rsid w:val="008F616A"/>
    <w:rsid w:val="00907150"/>
    <w:rsid w:val="0091259E"/>
    <w:rsid w:val="009125A3"/>
    <w:rsid w:val="0091507A"/>
    <w:rsid w:val="00915310"/>
    <w:rsid w:val="009245BB"/>
    <w:rsid w:val="00934D61"/>
    <w:rsid w:val="00937D1D"/>
    <w:rsid w:val="00943BE7"/>
    <w:rsid w:val="009461B3"/>
    <w:rsid w:val="009639EB"/>
    <w:rsid w:val="0097780E"/>
    <w:rsid w:val="009962D9"/>
    <w:rsid w:val="009B1C9C"/>
    <w:rsid w:val="009B396D"/>
    <w:rsid w:val="009B5059"/>
    <w:rsid w:val="009B79F2"/>
    <w:rsid w:val="009C4094"/>
    <w:rsid w:val="009C5656"/>
    <w:rsid w:val="009E7397"/>
    <w:rsid w:val="009F0275"/>
    <w:rsid w:val="009F1AC1"/>
    <w:rsid w:val="009F58E0"/>
    <w:rsid w:val="00A006B4"/>
    <w:rsid w:val="00A023C5"/>
    <w:rsid w:val="00A023E3"/>
    <w:rsid w:val="00A163CD"/>
    <w:rsid w:val="00A174FE"/>
    <w:rsid w:val="00A22E91"/>
    <w:rsid w:val="00A27AFA"/>
    <w:rsid w:val="00A32B31"/>
    <w:rsid w:val="00A32C5E"/>
    <w:rsid w:val="00A3310F"/>
    <w:rsid w:val="00A34A2A"/>
    <w:rsid w:val="00A34F31"/>
    <w:rsid w:val="00A417E8"/>
    <w:rsid w:val="00A44012"/>
    <w:rsid w:val="00A54EC9"/>
    <w:rsid w:val="00A67973"/>
    <w:rsid w:val="00A7105C"/>
    <w:rsid w:val="00A72764"/>
    <w:rsid w:val="00A759C1"/>
    <w:rsid w:val="00A854E6"/>
    <w:rsid w:val="00AA280F"/>
    <w:rsid w:val="00AA29DE"/>
    <w:rsid w:val="00AA2B32"/>
    <w:rsid w:val="00AA5FF0"/>
    <w:rsid w:val="00AA6046"/>
    <w:rsid w:val="00AA72A9"/>
    <w:rsid w:val="00AB0CED"/>
    <w:rsid w:val="00AC0808"/>
    <w:rsid w:val="00AC198C"/>
    <w:rsid w:val="00AC5607"/>
    <w:rsid w:val="00AD2F68"/>
    <w:rsid w:val="00AF57A2"/>
    <w:rsid w:val="00B07821"/>
    <w:rsid w:val="00B13259"/>
    <w:rsid w:val="00B1681B"/>
    <w:rsid w:val="00B16C66"/>
    <w:rsid w:val="00B31315"/>
    <w:rsid w:val="00B4547D"/>
    <w:rsid w:val="00B464B9"/>
    <w:rsid w:val="00B52598"/>
    <w:rsid w:val="00B54163"/>
    <w:rsid w:val="00B54448"/>
    <w:rsid w:val="00B54B3C"/>
    <w:rsid w:val="00B60402"/>
    <w:rsid w:val="00B74929"/>
    <w:rsid w:val="00B7767F"/>
    <w:rsid w:val="00B85A36"/>
    <w:rsid w:val="00B9013F"/>
    <w:rsid w:val="00BA514F"/>
    <w:rsid w:val="00BB1129"/>
    <w:rsid w:val="00BC2D2A"/>
    <w:rsid w:val="00BC65B6"/>
    <w:rsid w:val="00BD1FA8"/>
    <w:rsid w:val="00C17386"/>
    <w:rsid w:val="00C26D1B"/>
    <w:rsid w:val="00C318E0"/>
    <w:rsid w:val="00C4344F"/>
    <w:rsid w:val="00C62A2F"/>
    <w:rsid w:val="00C72C5F"/>
    <w:rsid w:val="00C75FC4"/>
    <w:rsid w:val="00CB4CFB"/>
    <w:rsid w:val="00CC29AE"/>
    <w:rsid w:val="00CC2B4C"/>
    <w:rsid w:val="00CD216C"/>
    <w:rsid w:val="00CD3C38"/>
    <w:rsid w:val="00CE2103"/>
    <w:rsid w:val="00CE4286"/>
    <w:rsid w:val="00CF2F94"/>
    <w:rsid w:val="00D069A8"/>
    <w:rsid w:val="00D146F3"/>
    <w:rsid w:val="00D20A08"/>
    <w:rsid w:val="00D32657"/>
    <w:rsid w:val="00D460ED"/>
    <w:rsid w:val="00D724AD"/>
    <w:rsid w:val="00D81AF0"/>
    <w:rsid w:val="00D86022"/>
    <w:rsid w:val="00D93957"/>
    <w:rsid w:val="00DA5C4B"/>
    <w:rsid w:val="00DA7B06"/>
    <w:rsid w:val="00DA7BA9"/>
    <w:rsid w:val="00DB7C74"/>
    <w:rsid w:val="00DD188E"/>
    <w:rsid w:val="00DF71C4"/>
    <w:rsid w:val="00E05DA5"/>
    <w:rsid w:val="00E14F1D"/>
    <w:rsid w:val="00E15C85"/>
    <w:rsid w:val="00E2251B"/>
    <w:rsid w:val="00E25581"/>
    <w:rsid w:val="00E2783A"/>
    <w:rsid w:val="00E27982"/>
    <w:rsid w:val="00E32500"/>
    <w:rsid w:val="00E32D6D"/>
    <w:rsid w:val="00E471B6"/>
    <w:rsid w:val="00E5598C"/>
    <w:rsid w:val="00E5731C"/>
    <w:rsid w:val="00E83796"/>
    <w:rsid w:val="00E912BD"/>
    <w:rsid w:val="00E91930"/>
    <w:rsid w:val="00E946F7"/>
    <w:rsid w:val="00EA53DA"/>
    <w:rsid w:val="00EA67A9"/>
    <w:rsid w:val="00EA6D80"/>
    <w:rsid w:val="00EB159A"/>
    <w:rsid w:val="00EC2E74"/>
    <w:rsid w:val="00EC75D4"/>
    <w:rsid w:val="00EC7A4E"/>
    <w:rsid w:val="00EC7B3E"/>
    <w:rsid w:val="00ED4A44"/>
    <w:rsid w:val="00ED58E2"/>
    <w:rsid w:val="00ED6F02"/>
    <w:rsid w:val="00EE0DF9"/>
    <w:rsid w:val="00EE13CB"/>
    <w:rsid w:val="00EE2AC8"/>
    <w:rsid w:val="00F06A41"/>
    <w:rsid w:val="00F167AD"/>
    <w:rsid w:val="00F247BE"/>
    <w:rsid w:val="00F248A4"/>
    <w:rsid w:val="00F266AA"/>
    <w:rsid w:val="00F316D6"/>
    <w:rsid w:val="00F4350E"/>
    <w:rsid w:val="00F5470F"/>
    <w:rsid w:val="00F56008"/>
    <w:rsid w:val="00F74465"/>
    <w:rsid w:val="00F90651"/>
    <w:rsid w:val="00F90AA7"/>
    <w:rsid w:val="00FA2924"/>
    <w:rsid w:val="00FB4460"/>
    <w:rsid w:val="00FC34BD"/>
    <w:rsid w:val="00FC59EE"/>
    <w:rsid w:val="00FD3F37"/>
    <w:rsid w:val="00FD4AF7"/>
    <w:rsid w:val="00FD549F"/>
    <w:rsid w:val="00FE230A"/>
    <w:rsid w:val="00FE7496"/>
    <w:rsid w:val="00FF152C"/>
    <w:rsid w:val="00FF2E81"/>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26B1"/>
  <w15:docId w15:val="{C4213066-435A-425F-91EB-A07E1EBE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1C4"/>
    <w:pPr>
      <w:ind w:left="720"/>
      <w:contextualSpacing/>
    </w:pPr>
  </w:style>
  <w:style w:type="table" w:styleId="TableGrid">
    <w:name w:val="Table Grid"/>
    <w:basedOn w:val="TableNormal"/>
    <w:uiPriority w:val="39"/>
    <w:rsid w:val="007F0A9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3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50E"/>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7E72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221"/>
    <w:rPr>
      <w:sz w:val="20"/>
      <w:szCs w:val="20"/>
      <w:lang w:val="en-GB"/>
    </w:rPr>
  </w:style>
  <w:style w:type="character" w:styleId="FootnoteReference">
    <w:name w:val="footnote reference"/>
    <w:basedOn w:val="DefaultParagraphFont"/>
    <w:uiPriority w:val="99"/>
    <w:semiHidden/>
    <w:unhideWhenUsed/>
    <w:rsid w:val="007E7221"/>
    <w:rPr>
      <w:vertAlign w:val="superscript"/>
    </w:rPr>
  </w:style>
  <w:style w:type="character" w:customStyle="1" w:styleId="st">
    <w:name w:val="st"/>
    <w:basedOn w:val="DefaultParagraphFont"/>
    <w:rsid w:val="00D86022"/>
  </w:style>
  <w:style w:type="paragraph" w:styleId="Header">
    <w:name w:val="header"/>
    <w:basedOn w:val="Normal"/>
    <w:link w:val="HeaderChar"/>
    <w:uiPriority w:val="99"/>
    <w:unhideWhenUsed/>
    <w:rsid w:val="00383C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3CFA"/>
    <w:rPr>
      <w:lang w:val="en-GB"/>
    </w:rPr>
  </w:style>
  <w:style w:type="paragraph" w:styleId="Footer">
    <w:name w:val="footer"/>
    <w:basedOn w:val="Normal"/>
    <w:link w:val="FooterChar"/>
    <w:uiPriority w:val="99"/>
    <w:unhideWhenUsed/>
    <w:rsid w:val="00383C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3CFA"/>
    <w:rPr>
      <w:lang w:val="en-GB"/>
    </w:rPr>
  </w:style>
  <w:style w:type="character" w:styleId="Hyperlink">
    <w:name w:val="Hyperlink"/>
    <w:basedOn w:val="DefaultParagraphFont"/>
    <w:uiPriority w:val="99"/>
    <w:unhideWhenUsed/>
    <w:rsid w:val="008B1D1C"/>
    <w:rPr>
      <w:color w:val="0000FF"/>
      <w:u w:val="single"/>
    </w:rPr>
  </w:style>
  <w:style w:type="paragraph" w:customStyle="1" w:styleId="xmsonormal">
    <w:name w:val="x_msonormal"/>
    <w:basedOn w:val="Normal"/>
    <w:rsid w:val="001E3CEC"/>
    <w:pPr>
      <w:spacing w:after="0" w:line="240" w:lineRule="auto"/>
    </w:pPr>
    <w:rPr>
      <w:rFonts w:ascii="Times New Roman" w:hAnsi="Times New Roman" w:cs="Times New Roman"/>
      <w:sz w:val="24"/>
      <w:szCs w:val="24"/>
      <w:lang w:val="en-US"/>
    </w:rPr>
  </w:style>
  <w:style w:type="paragraph" w:customStyle="1" w:styleId="Default">
    <w:name w:val="Default"/>
    <w:rsid w:val="00225F7D"/>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93127">
      <w:bodyDiv w:val="1"/>
      <w:marLeft w:val="0"/>
      <w:marRight w:val="0"/>
      <w:marTop w:val="0"/>
      <w:marBottom w:val="0"/>
      <w:divBdr>
        <w:top w:val="none" w:sz="0" w:space="0" w:color="auto"/>
        <w:left w:val="none" w:sz="0" w:space="0" w:color="auto"/>
        <w:bottom w:val="none" w:sz="0" w:space="0" w:color="auto"/>
        <w:right w:val="none" w:sz="0" w:space="0" w:color="auto"/>
      </w:divBdr>
      <w:divsChild>
        <w:div w:id="1275672065">
          <w:marLeft w:val="0"/>
          <w:marRight w:val="0"/>
          <w:marTop w:val="0"/>
          <w:marBottom w:val="0"/>
          <w:divBdr>
            <w:top w:val="none" w:sz="0" w:space="0" w:color="auto"/>
            <w:left w:val="none" w:sz="0" w:space="0" w:color="auto"/>
            <w:bottom w:val="none" w:sz="0" w:space="0" w:color="auto"/>
            <w:right w:val="none" w:sz="0" w:space="0" w:color="auto"/>
          </w:divBdr>
        </w:div>
        <w:div w:id="1560628199">
          <w:marLeft w:val="0"/>
          <w:marRight w:val="0"/>
          <w:marTop w:val="0"/>
          <w:marBottom w:val="0"/>
          <w:divBdr>
            <w:top w:val="none" w:sz="0" w:space="0" w:color="auto"/>
            <w:left w:val="none" w:sz="0" w:space="0" w:color="auto"/>
            <w:bottom w:val="none" w:sz="0" w:space="0" w:color="auto"/>
            <w:right w:val="none" w:sz="0" w:space="0" w:color="auto"/>
          </w:divBdr>
        </w:div>
        <w:div w:id="168837741">
          <w:marLeft w:val="0"/>
          <w:marRight w:val="0"/>
          <w:marTop w:val="0"/>
          <w:marBottom w:val="0"/>
          <w:divBdr>
            <w:top w:val="none" w:sz="0" w:space="0" w:color="auto"/>
            <w:left w:val="none" w:sz="0" w:space="0" w:color="auto"/>
            <w:bottom w:val="none" w:sz="0" w:space="0" w:color="auto"/>
            <w:right w:val="none" w:sz="0" w:space="0" w:color="auto"/>
          </w:divBdr>
        </w:div>
        <w:div w:id="1633173797">
          <w:marLeft w:val="0"/>
          <w:marRight w:val="0"/>
          <w:marTop w:val="0"/>
          <w:marBottom w:val="0"/>
          <w:divBdr>
            <w:top w:val="none" w:sz="0" w:space="0" w:color="auto"/>
            <w:left w:val="none" w:sz="0" w:space="0" w:color="auto"/>
            <w:bottom w:val="none" w:sz="0" w:space="0" w:color="auto"/>
            <w:right w:val="none" w:sz="0" w:space="0" w:color="auto"/>
          </w:divBdr>
        </w:div>
        <w:div w:id="1446730063">
          <w:marLeft w:val="0"/>
          <w:marRight w:val="0"/>
          <w:marTop w:val="0"/>
          <w:marBottom w:val="0"/>
          <w:divBdr>
            <w:top w:val="none" w:sz="0" w:space="0" w:color="auto"/>
            <w:left w:val="none" w:sz="0" w:space="0" w:color="auto"/>
            <w:bottom w:val="none" w:sz="0" w:space="0" w:color="auto"/>
            <w:right w:val="none" w:sz="0" w:space="0" w:color="auto"/>
          </w:divBdr>
        </w:div>
        <w:div w:id="1220169373">
          <w:marLeft w:val="0"/>
          <w:marRight w:val="0"/>
          <w:marTop w:val="0"/>
          <w:marBottom w:val="0"/>
          <w:divBdr>
            <w:top w:val="none" w:sz="0" w:space="0" w:color="auto"/>
            <w:left w:val="none" w:sz="0" w:space="0" w:color="auto"/>
            <w:bottom w:val="none" w:sz="0" w:space="0" w:color="auto"/>
            <w:right w:val="none" w:sz="0" w:space="0" w:color="auto"/>
          </w:divBdr>
        </w:div>
        <w:div w:id="1953512500">
          <w:marLeft w:val="0"/>
          <w:marRight w:val="0"/>
          <w:marTop w:val="0"/>
          <w:marBottom w:val="0"/>
          <w:divBdr>
            <w:top w:val="none" w:sz="0" w:space="0" w:color="auto"/>
            <w:left w:val="none" w:sz="0" w:space="0" w:color="auto"/>
            <w:bottom w:val="none" w:sz="0" w:space="0" w:color="auto"/>
            <w:right w:val="none" w:sz="0" w:space="0" w:color="auto"/>
          </w:divBdr>
        </w:div>
        <w:div w:id="649330738">
          <w:marLeft w:val="0"/>
          <w:marRight w:val="0"/>
          <w:marTop w:val="0"/>
          <w:marBottom w:val="0"/>
          <w:divBdr>
            <w:top w:val="none" w:sz="0" w:space="0" w:color="auto"/>
            <w:left w:val="none" w:sz="0" w:space="0" w:color="auto"/>
            <w:bottom w:val="none" w:sz="0" w:space="0" w:color="auto"/>
            <w:right w:val="none" w:sz="0" w:space="0" w:color="auto"/>
          </w:divBdr>
        </w:div>
        <w:div w:id="399057986">
          <w:marLeft w:val="0"/>
          <w:marRight w:val="0"/>
          <w:marTop w:val="0"/>
          <w:marBottom w:val="0"/>
          <w:divBdr>
            <w:top w:val="none" w:sz="0" w:space="0" w:color="auto"/>
            <w:left w:val="none" w:sz="0" w:space="0" w:color="auto"/>
            <w:bottom w:val="none" w:sz="0" w:space="0" w:color="auto"/>
            <w:right w:val="none" w:sz="0" w:space="0" w:color="auto"/>
          </w:divBdr>
        </w:div>
        <w:div w:id="2076585079">
          <w:marLeft w:val="0"/>
          <w:marRight w:val="0"/>
          <w:marTop w:val="0"/>
          <w:marBottom w:val="0"/>
          <w:divBdr>
            <w:top w:val="none" w:sz="0" w:space="0" w:color="auto"/>
            <w:left w:val="none" w:sz="0" w:space="0" w:color="auto"/>
            <w:bottom w:val="none" w:sz="0" w:space="0" w:color="auto"/>
            <w:right w:val="none" w:sz="0" w:space="0" w:color="auto"/>
          </w:divBdr>
        </w:div>
        <w:div w:id="1683429088">
          <w:marLeft w:val="0"/>
          <w:marRight w:val="0"/>
          <w:marTop w:val="0"/>
          <w:marBottom w:val="0"/>
          <w:divBdr>
            <w:top w:val="none" w:sz="0" w:space="0" w:color="auto"/>
            <w:left w:val="none" w:sz="0" w:space="0" w:color="auto"/>
            <w:bottom w:val="none" w:sz="0" w:space="0" w:color="auto"/>
            <w:right w:val="none" w:sz="0" w:space="0" w:color="auto"/>
          </w:divBdr>
        </w:div>
        <w:div w:id="519858469">
          <w:marLeft w:val="0"/>
          <w:marRight w:val="0"/>
          <w:marTop w:val="0"/>
          <w:marBottom w:val="0"/>
          <w:divBdr>
            <w:top w:val="none" w:sz="0" w:space="0" w:color="auto"/>
            <w:left w:val="none" w:sz="0" w:space="0" w:color="auto"/>
            <w:bottom w:val="none" w:sz="0" w:space="0" w:color="auto"/>
            <w:right w:val="none" w:sz="0" w:space="0" w:color="auto"/>
          </w:divBdr>
        </w:div>
        <w:div w:id="1690520550">
          <w:marLeft w:val="0"/>
          <w:marRight w:val="0"/>
          <w:marTop w:val="0"/>
          <w:marBottom w:val="0"/>
          <w:divBdr>
            <w:top w:val="none" w:sz="0" w:space="0" w:color="auto"/>
            <w:left w:val="none" w:sz="0" w:space="0" w:color="auto"/>
            <w:bottom w:val="none" w:sz="0" w:space="0" w:color="auto"/>
            <w:right w:val="none" w:sz="0" w:space="0" w:color="auto"/>
          </w:divBdr>
        </w:div>
        <w:div w:id="1709600205">
          <w:marLeft w:val="0"/>
          <w:marRight w:val="0"/>
          <w:marTop w:val="0"/>
          <w:marBottom w:val="0"/>
          <w:divBdr>
            <w:top w:val="none" w:sz="0" w:space="0" w:color="auto"/>
            <w:left w:val="none" w:sz="0" w:space="0" w:color="auto"/>
            <w:bottom w:val="none" w:sz="0" w:space="0" w:color="auto"/>
            <w:right w:val="none" w:sz="0" w:space="0" w:color="auto"/>
          </w:divBdr>
        </w:div>
        <w:div w:id="1768454496">
          <w:marLeft w:val="0"/>
          <w:marRight w:val="0"/>
          <w:marTop w:val="0"/>
          <w:marBottom w:val="0"/>
          <w:divBdr>
            <w:top w:val="none" w:sz="0" w:space="0" w:color="auto"/>
            <w:left w:val="none" w:sz="0" w:space="0" w:color="auto"/>
            <w:bottom w:val="none" w:sz="0" w:space="0" w:color="auto"/>
            <w:right w:val="none" w:sz="0" w:space="0" w:color="auto"/>
          </w:divBdr>
        </w:div>
      </w:divsChild>
    </w:div>
    <w:div w:id="497310989">
      <w:bodyDiv w:val="1"/>
      <w:marLeft w:val="0"/>
      <w:marRight w:val="0"/>
      <w:marTop w:val="0"/>
      <w:marBottom w:val="0"/>
      <w:divBdr>
        <w:top w:val="none" w:sz="0" w:space="0" w:color="auto"/>
        <w:left w:val="none" w:sz="0" w:space="0" w:color="auto"/>
        <w:bottom w:val="none" w:sz="0" w:space="0" w:color="auto"/>
        <w:right w:val="none" w:sz="0" w:space="0" w:color="auto"/>
      </w:divBdr>
      <w:divsChild>
        <w:div w:id="1745639030">
          <w:marLeft w:val="0"/>
          <w:marRight w:val="0"/>
          <w:marTop w:val="0"/>
          <w:marBottom w:val="0"/>
          <w:divBdr>
            <w:top w:val="none" w:sz="0" w:space="0" w:color="auto"/>
            <w:left w:val="none" w:sz="0" w:space="0" w:color="auto"/>
            <w:bottom w:val="none" w:sz="0" w:space="0" w:color="auto"/>
            <w:right w:val="none" w:sz="0" w:space="0" w:color="auto"/>
          </w:divBdr>
        </w:div>
        <w:div w:id="515072019">
          <w:marLeft w:val="0"/>
          <w:marRight w:val="0"/>
          <w:marTop w:val="0"/>
          <w:marBottom w:val="0"/>
          <w:divBdr>
            <w:top w:val="none" w:sz="0" w:space="0" w:color="auto"/>
            <w:left w:val="none" w:sz="0" w:space="0" w:color="auto"/>
            <w:bottom w:val="none" w:sz="0" w:space="0" w:color="auto"/>
            <w:right w:val="none" w:sz="0" w:space="0" w:color="auto"/>
          </w:divBdr>
        </w:div>
        <w:div w:id="1532955860">
          <w:marLeft w:val="0"/>
          <w:marRight w:val="0"/>
          <w:marTop w:val="0"/>
          <w:marBottom w:val="0"/>
          <w:divBdr>
            <w:top w:val="none" w:sz="0" w:space="0" w:color="auto"/>
            <w:left w:val="none" w:sz="0" w:space="0" w:color="auto"/>
            <w:bottom w:val="none" w:sz="0" w:space="0" w:color="auto"/>
            <w:right w:val="none" w:sz="0" w:space="0" w:color="auto"/>
          </w:divBdr>
        </w:div>
        <w:div w:id="429350130">
          <w:marLeft w:val="0"/>
          <w:marRight w:val="0"/>
          <w:marTop w:val="0"/>
          <w:marBottom w:val="0"/>
          <w:divBdr>
            <w:top w:val="none" w:sz="0" w:space="0" w:color="auto"/>
            <w:left w:val="none" w:sz="0" w:space="0" w:color="auto"/>
            <w:bottom w:val="none" w:sz="0" w:space="0" w:color="auto"/>
            <w:right w:val="none" w:sz="0" w:space="0" w:color="auto"/>
          </w:divBdr>
        </w:div>
        <w:div w:id="1470590362">
          <w:marLeft w:val="0"/>
          <w:marRight w:val="0"/>
          <w:marTop w:val="0"/>
          <w:marBottom w:val="0"/>
          <w:divBdr>
            <w:top w:val="none" w:sz="0" w:space="0" w:color="auto"/>
            <w:left w:val="none" w:sz="0" w:space="0" w:color="auto"/>
            <w:bottom w:val="none" w:sz="0" w:space="0" w:color="auto"/>
            <w:right w:val="none" w:sz="0" w:space="0" w:color="auto"/>
          </w:divBdr>
        </w:div>
        <w:div w:id="1694190995">
          <w:marLeft w:val="0"/>
          <w:marRight w:val="0"/>
          <w:marTop w:val="0"/>
          <w:marBottom w:val="0"/>
          <w:divBdr>
            <w:top w:val="none" w:sz="0" w:space="0" w:color="auto"/>
            <w:left w:val="none" w:sz="0" w:space="0" w:color="auto"/>
            <w:bottom w:val="none" w:sz="0" w:space="0" w:color="auto"/>
            <w:right w:val="none" w:sz="0" w:space="0" w:color="auto"/>
          </w:divBdr>
        </w:div>
        <w:div w:id="404886334">
          <w:marLeft w:val="0"/>
          <w:marRight w:val="0"/>
          <w:marTop w:val="0"/>
          <w:marBottom w:val="0"/>
          <w:divBdr>
            <w:top w:val="none" w:sz="0" w:space="0" w:color="auto"/>
            <w:left w:val="none" w:sz="0" w:space="0" w:color="auto"/>
            <w:bottom w:val="none" w:sz="0" w:space="0" w:color="auto"/>
            <w:right w:val="none" w:sz="0" w:space="0" w:color="auto"/>
          </w:divBdr>
        </w:div>
        <w:div w:id="989596806">
          <w:marLeft w:val="0"/>
          <w:marRight w:val="0"/>
          <w:marTop w:val="0"/>
          <w:marBottom w:val="0"/>
          <w:divBdr>
            <w:top w:val="none" w:sz="0" w:space="0" w:color="auto"/>
            <w:left w:val="none" w:sz="0" w:space="0" w:color="auto"/>
            <w:bottom w:val="none" w:sz="0" w:space="0" w:color="auto"/>
            <w:right w:val="none" w:sz="0" w:space="0" w:color="auto"/>
          </w:divBdr>
        </w:div>
        <w:div w:id="125003816">
          <w:marLeft w:val="0"/>
          <w:marRight w:val="0"/>
          <w:marTop w:val="0"/>
          <w:marBottom w:val="0"/>
          <w:divBdr>
            <w:top w:val="none" w:sz="0" w:space="0" w:color="auto"/>
            <w:left w:val="none" w:sz="0" w:space="0" w:color="auto"/>
            <w:bottom w:val="none" w:sz="0" w:space="0" w:color="auto"/>
            <w:right w:val="none" w:sz="0" w:space="0" w:color="auto"/>
          </w:divBdr>
        </w:div>
        <w:div w:id="1729766685">
          <w:marLeft w:val="0"/>
          <w:marRight w:val="0"/>
          <w:marTop w:val="0"/>
          <w:marBottom w:val="0"/>
          <w:divBdr>
            <w:top w:val="none" w:sz="0" w:space="0" w:color="auto"/>
            <w:left w:val="none" w:sz="0" w:space="0" w:color="auto"/>
            <w:bottom w:val="none" w:sz="0" w:space="0" w:color="auto"/>
            <w:right w:val="none" w:sz="0" w:space="0" w:color="auto"/>
          </w:divBdr>
        </w:div>
        <w:div w:id="1728871296">
          <w:marLeft w:val="0"/>
          <w:marRight w:val="0"/>
          <w:marTop w:val="0"/>
          <w:marBottom w:val="0"/>
          <w:divBdr>
            <w:top w:val="none" w:sz="0" w:space="0" w:color="auto"/>
            <w:left w:val="none" w:sz="0" w:space="0" w:color="auto"/>
            <w:bottom w:val="none" w:sz="0" w:space="0" w:color="auto"/>
            <w:right w:val="none" w:sz="0" w:space="0" w:color="auto"/>
          </w:divBdr>
        </w:div>
        <w:div w:id="2030256234">
          <w:marLeft w:val="0"/>
          <w:marRight w:val="0"/>
          <w:marTop w:val="0"/>
          <w:marBottom w:val="0"/>
          <w:divBdr>
            <w:top w:val="none" w:sz="0" w:space="0" w:color="auto"/>
            <w:left w:val="none" w:sz="0" w:space="0" w:color="auto"/>
            <w:bottom w:val="none" w:sz="0" w:space="0" w:color="auto"/>
            <w:right w:val="none" w:sz="0" w:space="0" w:color="auto"/>
          </w:divBdr>
        </w:div>
        <w:div w:id="751972865">
          <w:marLeft w:val="0"/>
          <w:marRight w:val="0"/>
          <w:marTop w:val="0"/>
          <w:marBottom w:val="0"/>
          <w:divBdr>
            <w:top w:val="none" w:sz="0" w:space="0" w:color="auto"/>
            <w:left w:val="none" w:sz="0" w:space="0" w:color="auto"/>
            <w:bottom w:val="none" w:sz="0" w:space="0" w:color="auto"/>
            <w:right w:val="none" w:sz="0" w:space="0" w:color="auto"/>
          </w:divBdr>
        </w:div>
        <w:div w:id="1765564054">
          <w:marLeft w:val="0"/>
          <w:marRight w:val="0"/>
          <w:marTop w:val="0"/>
          <w:marBottom w:val="0"/>
          <w:divBdr>
            <w:top w:val="none" w:sz="0" w:space="0" w:color="auto"/>
            <w:left w:val="none" w:sz="0" w:space="0" w:color="auto"/>
            <w:bottom w:val="none" w:sz="0" w:space="0" w:color="auto"/>
            <w:right w:val="none" w:sz="0" w:space="0" w:color="auto"/>
          </w:divBdr>
        </w:div>
        <w:div w:id="995887693">
          <w:marLeft w:val="0"/>
          <w:marRight w:val="0"/>
          <w:marTop w:val="0"/>
          <w:marBottom w:val="0"/>
          <w:divBdr>
            <w:top w:val="none" w:sz="0" w:space="0" w:color="auto"/>
            <w:left w:val="none" w:sz="0" w:space="0" w:color="auto"/>
            <w:bottom w:val="none" w:sz="0" w:space="0" w:color="auto"/>
            <w:right w:val="none" w:sz="0" w:space="0" w:color="auto"/>
          </w:divBdr>
        </w:div>
        <w:div w:id="1042172141">
          <w:marLeft w:val="0"/>
          <w:marRight w:val="0"/>
          <w:marTop w:val="0"/>
          <w:marBottom w:val="0"/>
          <w:divBdr>
            <w:top w:val="none" w:sz="0" w:space="0" w:color="auto"/>
            <w:left w:val="none" w:sz="0" w:space="0" w:color="auto"/>
            <w:bottom w:val="none" w:sz="0" w:space="0" w:color="auto"/>
            <w:right w:val="none" w:sz="0" w:space="0" w:color="auto"/>
          </w:divBdr>
        </w:div>
        <w:div w:id="1379357916">
          <w:marLeft w:val="0"/>
          <w:marRight w:val="0"/>
          <w:marTop w:val="0"/>
          <w:marBottom w:val="0"/>
          <w:divBdr>
            <w:top w:val="none" w:sz="0" w:space="0" w:color="auto"/>
            <w:left w:val="none" w:sz="0" w:space="0" w:color="auto"/>
            <w:bottom w:val="none" w:sz="0" w:space="0" w:color="auto"/>
            <w:right w:val="none" w:sz="0" w:space="0" w:color="auto"/>
          </w:divBdr>
        </w:div>
        <w:div w:id="788403591">
          <w:marLeft w:val="0"/>
          <w:marRight w:val="0"/>
          <w:marTop w:val="0"/>
          <w:marBottom w:val="0"/>
          <w:divBdr>
            <w:top w:val="none" w:sz="0" w:space="0" w:color="auto"/>
            <w:left w:val="none" w:sz="0" w:space="0" w:color="auto"/>
            <w:bottom w:val="none" w:sz="0" w:space="0" w:color="auto"/>
            <w:right w:val="none" w:sz="0" w:space="0" w:color="auto"/>
          </w:divBdr>
        </w:div>
        <w:div w:id="1913731090">
          <w:marLeft w:val="0"/>
          <w:marRight w:val="0"/>
          <w:marTop w:val="0"/>
          <w:marBottom w:val="0"/>
          <w:divBdr>
            <w:top w:val="none" w:sz="0" w:space="0" w:color="auto"/>
            <w:left w:val="none" w:sz="0" w:space="0" w:color="auto"/>
            <w:bottom w:val="none" w:sz="0" w:space="0" w:color="auto"/>
            <w:right w:val="none" w:sz="0" w:space="0" w:color="auto"/>
          </w:divBdr>
        </w:div>
        <w:div w:id="451215774">
          <w:marLeft w:val="0"/>
          <w:marRight w:val="0"/>
          <w:marTop w:val="0"/>
          <w:marBottom w:val="0"/>
          <w:divBdr>
            <w:top w:val="none" w:sz="0" w:space="0" w:color="auto"/>
            <w:left w:val="none" w:sz="0" w:space="0" w:color="auto"/>
            <w:bottom w:val="none" w:sz="0" w:space="0" w:color="auto"/>
            <w:right w:val="none" w:sz="0" w:space="0" w:color="auto"/>
          </w:divBdr>
        </w:div>
      </w:divsChild>
    </w:div>
    <w:div w:id="649283853">
      <w:bodyDiv w:val="1"/>
      <w:marLeft w:val="0"/>
      <w:marRight w:val="0"/>
      <w:marTop w:val="0"/>
      <w:marBottom w:val="0"/>
      <w:divBdr>
        <w:top w:val="none" w:sz="0" w:space="0" w:color="auto"/>
        <w:left w:val="none" w:sz="0" w:space="0" w:color="auto"/>
        <w:bottom w:val="none" w:sz="0" w:space="0" w:color="auto"/>
        <w:right w:val="none" w:sz="0" w:space="0" w:color="auto"/>
      </w:divBdr>
    </w:div>
    <w:div w:id="79850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rti-rating.org/" TargetMode="External"/><Relationship Id="rId2" Type="http://schemas.openxmlformats.org/officeDocument/2006/relationships/hyperlink" Target="http://www.law-democracy.org/" TargetMode="External"/><Relationship Id="rId1" Type="http://schemas.openxmlformats.org/officeDocument/2006/relationships/hyperlink" Target="http://www.access-info.org/" TargetMode="External"/><Relationship Id="rId4" Type="http://schemas.openxmlformats.org/officeDocument/2006/relationships/hyperlink" Target="https://unstats.un.org/sd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0E9CA-3E24-42EE-8784-65AB7C2D5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2933</Words>
  <Characters>16722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Berger, Guy</dc:creator>
  <cp:lastModifiedBy>Kuswandini, Dian</cp:lastModifiedBy>
  <cp:revision>9</cp:revision>
  <cp:lastPrinted>2018-08-06T14:01:00Z</cp:lastPrinted>
  <dcterms:created xsi:type="dcterms:W3CDTF">2018-08-10T12:11:00Z</dcterms:created>
  <dcterms:modified xsi:type="dcterms:W3CDTF">2018-08-10T17:15:00Z</dcterms:modified>
</cp:coreProperties>
</file>